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Transformation</w:t>
      </w:r>
      <w:r>
        <w:t xml:space="preserve"> </w:t>
      </w:r>
      <w:r>
        <w:t xml:space="preserve">of</w:t>
      </w:r>
      <w:r>
        <w:t xml:space="preserve"> </w:t>
      </w:r>
      <w:r>
        <w:t xml:space="preserve">Primary</w:t>
      </w:r>
      <w:r>
        <w:t xml:space="preserve"> </w:t>
      </w:r>
      <w:r>
        <w:t xml:space="preserve">Education</w:t>
      </w:r>
      <w:r>
        <w:t xml:space="preserve"> </w:t>
      </w:r>
      <w:r>
        <w:t xml:space="preserve">in</w:t>
      </w:r>
      <w:r>
        <w:t xml:space="preserve"> </w:t>
      </w:r>
      <w:r>
        <w:t xml:space="preserve">Kenya</w:t>
      </w:r>
      <w:r>
        <w:t xml:space="preserve"> </w:t>
      </w:r>
      <w:r>
        <w:t xml:space="preserve">Nairobi</w:t>
      </w:r>
    </w:p>
    <w:bookmarkStart w:id="31" w:name="X84292d3a84684fc1822f2e73feadd1d579f36d1"/>
    <w:p>
      <w:pPr>
        <w:pStyle w:val="Heading1"/>
      </w:pPr>
      <w:r>
        <w:t xml:space="preserve">Case Study: Empowering the Future Through Primary Education in Kenya Nairobi</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Nairobi, Kenya</w:t>
      </w:r>
      <w:r>
        <w:br/>
      </w:r>
      <w:r>
        <w:t xml:space="preserve">: Teacher Development and Curriculum Implementation at the Primary Level</w:t>
      </w:r>
    </w:p>
    <w:bookmarkStart w:id="20" w:name="executive-summary"/>
    <w:p>
      <w:pPr>
        <w:pStyle w:val="Heading2"/>
      </w:pPr>
      <w:r>
        <w:t xml:space="preserve">1. Executive Summary</w:t>
      </w:r>
    </w:p>
    <w:p>
      <w:pPr>
        <w:pStyle w:val="FirstParagraph"/>
      </w:pPr>
      <w:r>
        <w:t xml:space="preserve">This</w:t>
      </w:r>
      <w:r>
        <w:t xml:space="preserve"> </w:t>
      </w:r>
      <w:r>
        <w:rPr>
          <w:bCs/>
          <w:b/>
        </w:rPr>
        <w:t xml:space="preserve">Case Study</w:t>
      </w:r>
      <w:r>
        <w:t xml:space="preserve">Kenya Nairobi. As Kenya continues to implement the Competency-Based Curriculum (CBC), the role of the</w:t>
      </w:r>
      <w:r>
        <w:t xml:space="preserve"> </w:t>
      </w:r>
      <w:r>
        <w:rPr>
          <w:iCs/>
          <w:i/>
        </w:rPr>
        <w:t xml:space="preserve">Teacher Primary</w:t>
      </w:r>
    </w:p>
    <w:p>
      <w:pPr>
        <w:pStyle w:val="BodyText"/>
      </w:pPr>
      <w:r>
        <w:t xml:space="preserve">has become increasingly complex. This document explores how educators in one of Africa’s most dynamic urban centers are adapting to new educational frameworks, managing diverse classroom demographics, and leveraging technology to improve learning outcomes.</w:t>
      </w:r>
    </w:p>
    <w:bookmarkEnd w:id="20"/>
    <w:bookmarkStart w:id="21" w:name="X9cbf77ff001a095efbf3b0718b27378ef1f16cf"/>
    <w:p>
      <w:pPr>
        <w:pStyle w:val="Heading2"/>
      </w:pPr>
      <w:r>
        <w:t xml:space="preserve">2. Contextual Background: The Nairobi Landscape</w:t>
      </w:r>
    </w:p>
    <w:p>
      <w:pPr>
        <w:pStyle w:val="FirstParagraph"/>
      </w:pPr>
      <w:r>
        <w:t xml:space="preserve">Nairobi serves as the economic and cultural heartbeat of</w:t>
      </w:r>
      <w:r>
        <w:t xml:space="preserve"> </w:t>
      </w:r>
      <w:r>
        <w:rPr>
          <w:bCs/>
          <w:b/>
        </w:rPr>
        <w:t xml:space="preserve">Kenya Nairobi</w:t>
      </w:r>
      <w:r>
        <w:t xml:space="preserve">. However, this status brings unique challenges for primary education. The city is characterized by a stark dichotomy between high-income private institutions and under-resourced public schools in informal settlements such as Kibera and Mathare. In this varied landscape, the demand for quality education has never been higher. Parents in</w:t>
      </w:r>
      <w:r>
        <w:t xml:space="preserve"> </w:t>
      </w:r>
      <w:r>
        <w:rPr>
          <w:bCs/>
          <w:b/>
        </w:rPr>
        <w:t xml:space="preserve">Kenya Nairobi</w:t>
      </w:r>
      <w:r>
        <w:t xml:space="preserve"> </w:t>
      </w:r>
      <w:r>
        <w:t xml:space="preserve">are increasingly vocal about educational standards, creating pressure on school administrations to deliver measurable results.</w:t>
      </w:r>
    </w:p>
    <w:p>
      <w:pPr>
        <w:pStyle w:val="BodyText"/>
      </w:pPr>
      <w:r>
        <w:t xml:space="preserve">The introduction of the Competency-Based Curriculum (CBC) in Kenya marked a paradigm shift from rote memorization to competency development. For the</w:t>
      </w:r>
      <w:r>
        <w:t xml:space="preserve"> </w:t>
      </w:r>
      <w:r>
        <w:rPr>
          <w:iCs/>
          <w:i/>
        </w:rPr>
        <w:t xml:space="preserve">Teacher Primary</w:t>
      </w:r>
    </w:p>
    <w:p>
      <w:pPr>
        <w:pStyle w:val="BodyText"/>
      </w:pPr>
      <w:r>
        <w:t xml:space="preserve">, this meant moving away from traditional lecturing methods toward facilitation, assessment for learning, and holistic child development. This transition has been particularly challenging in</w:t>
      </w:r>
      <w:r>
        <w:t xml:space="preserve"> </w:t>
      </w:r>
      <w:r>
        <w:rPr>
          <w:bCs/>
          <w:b/>
        </w:rPr>
        <w:t xml:space="preserve">Kenya Nairobi</w:t>
      </w:r>
      <w:r>
        <w:t xml:space="preserve">, where large class sizes often hinder the personalized attention required by CBC guidelines.</w:t>
      </w:r>
    </w:p>
    <w:bookmarkEnd w:id="21"/>
    <w:bookmarkStart w:id="22" w:name="problem-statement"/>
    <w:p>
      <w:pPr>
        <w:pStyle w:val="Heading2"/>
      </w:pPr>
      <w:r>
        <w:t xml:space="preserve">3. Problem Statement</w:t>
      </w:r>
    </w:p>
    <w:p>
      <w:pPr>
        <w:pStyle w:val="FirstParagraph"/>
      </w:pPr>
      <w:r>
        <w:t xml:space="preserve">The core issue identified in this</w:t>
      </w:r>
      <w:r>
        <w:t xml:space="preserve"> </w:t>
      </w:r>
      <w:r>
        <w:rPr>
          <w:iCs/>
          <w:i/>
        </w:rPr>
        <w:t xml:space="preserve">Case Study</w:t>
      </w:r>
      <w:r>
        <w:t xml:space="preserve"> </w:t>
      </w:r>
      <w:r>
        <w:t xml:space="preserve">is the disparity in resource allocation and professional preparedness among primary teachers in</w:t>
      </w:r>
      <w:r>
        <w:t xml:space="preserve"> </w:t>
      </w:r>
      <w:r>
        <w:rPr>
          <w:bCs/>
          <w:b/>
        </w:rPr>
        <w:t xml:space="preserve">Kenya Nairobi</w:t>
      </w:r>
      <w:r>
        <w:t xml:space="preserve">. While national policies promote inclusive education, many</w:t>
      </w:r>
      <w:r>
        <w:t xml:space="preserve"> </w:t>
      </w:r>
      <w:r>
        <w:rPr>
          <w:iCs/>
          <w:i/>
        </w:rPr>
        <w:t xml:space="preserve">Teacher Primary</w:t>
      </w:r>
    </w:p>
    <w:p>
      <w:pPr>
        <w:pStyle w:val="BodyText"/>
      </w:pPr>
      <w:r>
        <w:t xml:space="preserve">professionals report feeling ill-equipped to handle:</w:t>
      </w:r>
    </w:p>
    <w:p>
      <w:pPr>
        <w:numPr>
          <w:ilvl w:val="0"/>
          <w:numId w:val="1001"/>
        </w:numPr>
        <w:pStyle w:val="Compact"/>
      </w:pPr>
      <w:r>
        <w:t xml:space="preserve">The logistical challenges of managing classes with 80+ students.</w:t>
      </w:r>
    </w:p>
    <w:p>
      <w:pPr>
        <w:numPr>
          <w:ilvl w:val="0"/>
          <w:numId w:val="1001"/>
        </w:numPr>
        <w:pStyle w:val="Compact"/>
      </w:pPr>
      <w:r>
        <w:t xml:space="preserve">The lack of teaching and learning materials required for competency-based assessment.</w:t>
      </w:r>
    </w:p>
    <w:p>
      <w:pPr>
        <w:numPr>
          <w:ilvl w:val="0"/>
          <w:numId w:val="1001"/>
        </w:numPr>
        <w:pStyle w:val="Compact"/>
      </w:pPr>
      <w:r>
        <w:t xml:space="preserve">The psychological burden of addressing socio-economic issues affecting children in urban poverty pockets.</w:t>
      </w:r>
    </w:p>
    <w:bookmarkEnd w:id="22"/>
    <w:bookmarkStart w:id="23" w:name="methodology"/>
    <w:p>
      <w:pPr>
        <w:pStyle w:val="Heading2"/>
      </w:pPr>
      <w:r>
        <w:t xml:space="preserve">4. Methodology</w:t>
      </w:r>
    </w:p>
    <w:p>
      <w:pPr>
        <w:pStyle w:val="FirstParagraph"/>
      </w:pPr>
      <w:r>
        <w:t xml:space="preserve">Data for this</w:t>
      </w:r>
      <w:r>
        <w:t xml:space="preserve"> </w:t>
      </w:r>
      <w:r>
        <w:rPr>
          <w:iCs/>
          <w:i/>
        </w:rPr>
        <w:t xml:space="preserve">Case Study</w:t>
      </w:r>
    </w:p>
    <w:p>
      <w:pPr>
        <w:pStyle w:val="BodyText"/>
      </w:pPr>
      <w:r>
        <w:t xml:space="preserve">was collected over a six-month period through semi-structured interviews with 50 primary school teachers across three distinct zones in</w:t>
      </w:r>
      <w:r>
        <w:t xml:space="preserve"> </w:t>
      </w:r>
      <w:r>
        <w:rPr>
          <w:bCs/>
          <w:b/>
        </w:rPr>
        <w:t xml:space="preserve">Kenya Nairobi</w:t>
      </w:r>
      <w:r>
        <w:t xml:space="preserve">: Westlands (high-income), Dagoretti Corner (middle-income), and Kibera (informal settlement). Observations were conducted during classroom sessions, focusing on teacher-student interactions and pedagogical techniques.</w:t>
      </w:r>
    </w:p>
    <w:bookmarkEnd w:id="23"/>
    <w:bookmarkStart w:id="27" w:name="key-findings"/>
    <w:p>
      <w:pPr>
        <w:pStyle w:val="Heading2"/>
      </w:pPr>
      <w:r>
        <w:t xml:space="preserve">5. Key Findings</w:t>
      </w:r>
    </w:p>
    <w:bookmarkStart w:id="24" w:name="X1044110f7b5aeca65db05ed3f393007d2795a1e"/>
    <w:p>
      <w:pPr>
        <w:pStyle w:val="Heading3"/>
      </w:pPr>
      <w:r>
        <w:t xml:space="preserve">A. The Changing Role of the Primary Teacher</w:t>
      </w:r>
    </w:p>
    <w:p>
      <w:pPr>
        <w:pStyle w:val="FirstParagraph"/>
      </w:pPr>
      <w:r>
        <w:t xml:space="preserve">In</w:t>
      </w:r>
      <w:r>
        <w:t xml:space="preserve"> </w:t>
      </w:r>
      <w:r>
        <w:rPr>
          <w:bCs/>
          <w:b/>
        </w:rPr>
        <w:t xml:space="preserve">Kenya Nairobi</w:t>
      </w:r>
      <w:r>
        <w:t xml:space="preserve">, the identity of the</w:t>
      </w:r>
      <w:r>
        <w:t xml:space="preserve"> </w:t>
      </w:r>
      <w:r>
        <w:rPr>
          <w:iCs/>
          <w:i/>
        </w:rPr>
        <w:t xml:space="preserve">Teacher Primary</w:t>
      </w:r>
    </w:p>
    <w:p>
      <w:pPr>
        <w:pStyle w:val="BodyText"/>
      </w:pPr>
      <w:r>
        <w:t xml:space="preserve">is evolving. Historically seen as a disciplinarian and sole source of knowledge, the modern primary teacher in this urban context is expected to be a mentor, facilitator, and data analyst. Teachers reported spending up to 30% of their time on administrative tasks related to continuous assessment records mandated by the new curriculum.</w:t>
      </w:r>
    </w:p>
    <w:bookmarkEnd w:id="24"/>
    <w:bookmarkStart w:id="25" w:name="b.-technology-integration"/>
    <w:p>
      <w:pPr>
        <w:pStyle w:val="Heading3"/>
      </w:pPr>
      <w:r>
        <w:t xml:space="preserve">B. Technology Integration</w:t>
      </w:r>
    </w:p>
    <w:p>
      <w:pPr>
        <w:pStyle w:val="FirstParagraph"/>
      </w:pPr>
      <w:r>
        <w:t xml:space="preserve">One of the most significant developments in</w:t>
      </w:r>
      <w:r>
        <w:t xml:space="preserve"> </w:t>
      </w:r>
      <w:r>
        <w:rPr>
          <w:bCs/>
          <w:b/>
        </w:rPr>
        <w:t xml:space="preserve">Kenya Nairobi</w:t>
      </w:r>
      <w:r>
        <w:t xml:space="preserve"> </w:t>
      </w:r>
      <w:r>
        <w:t xml:space="preserve">is the rapid adoption of EdTech tools. Schools with adequate funding have integrated tablets and interactive smartboards into their</w:t>
      </w:r>
      <w:r>
        <w:t xml:space="preserve"> </w:t>
      </w:r>
      <w:r>
        <w:rPr>
          <w:iCs/>
          <w:i/>
        </w:rPr>
        <w:t xml:space="preserve">Teacher Primary</w:t>
      </w:r>
    </w:p>
    <w:p>
      <w:pPr>
        <w:pStyle w:val="BodyText"/>
      </w:pPr>
      <w:r>
        <w:t xml:space="preserve">workflows. However, a digital divide persists. Teachers in under-resourced areas expressed frustration over intermittent internet connectivity and lack of charging facilities, which limits the effectiveness of digital learning initiatives.</w:t>
      </w:r>
    </w:p>
    <w:bookmarkEnd w:id="25"/>
    <w:bookmarkStart w:id="26" w:name="c.-community-engagement"/>
    <w:p>
      <w:pPr>
        <w:pStyle w:val="Heading3"/>
      </w:pPr>
      <w:r>
        <w:t xml:space="preserve">C. Community Engagement</w:t>
      </w:r>
    </w:p>
    <w:p>
      <w:pPr>
        <w:pStyle w:val="FirstParagraph"/>
      </w:pPr>
      <w:r>
        <w:t xml:space="preserve">The</w:t>
      </w:r>
      <w:r>
        <w:t xml:space="preserve"> </w:t>
      </w:r>
      <w:r>
        <w:rPr>
          <w:bCs/>
          <w:b/>
        </w:rPr>
        <w:t xml:space="preserve">Case Study</w:t>
      </w:r>
      <w:r>
        <w:t xml:space="preserve"> </w:t>
      </w:r>
      <w:r>
        <w:t xml:space="preserve">reveals that successful teachers in</w:t>
      </w:r>
      <w:r>
        <w:t xml:space="preserve"> </w:t>
      </w:r>
      <w:r>
        <w:rPr>
          <w:bCs/>
          <w:b/>
        </w:rPr>
        <w:t xml:space="preserve">Kenya Nairobi</w:t>
      </w:r>
      <w:r>
        <w:t xml:space="preserve"> </w:t>
      </w:r>
      <w:r>
        <w:t xml:space="preserve">are those who actively engage with parents and community leaders. In areas like Kibera, teacher-led home visits have proven effective in improving attendance rates. These educators demonstrate resilience, often working beyond standard hours to provide counseling support to students facing domestic instability.</w:t>
      </w:r>
    </w:p>
    <w:bookmarkEnd w:id="26"/>
    <w:bookmarkEnd w:id="27"/>
    <w:bookmarkStart w:id="28" w:name="challenges-identified"/>
    <w:p>
      <w:pPr>
        <w:pStyle w:val="Heading2"/>
      </w:pPr>
      <w:r>
        <w:t xml:space="preserve">6. Challenges Identified</w:t>
      </w:r>
    </w:p>
    <w:p>
      <w:pPr>
        <w:numPr>
          <w:ilvl w:val="0"/>
          <w:numId w:val="1002"/>
        </w:numPr>
        <w:pStyle w:val="Compact"/>
      </w:pPr>
      <w:r>
        <w:rPr>
          <w:bCs/>
          <w:b/>
        </w:rPr>
        <w:t xml:space="preserve">Workload Saturation:</w:t>
      </w:r>
      <w:r>
        <w:t xml:space="preserve"> </w:t>
      </w:r>
      <w:r>
        <w:t xml:space="preserve">The average</w:t>
      </w:r>
      <w:r>
        <w:t xml:space="preserve"> </w:t>
      </w:r>
      <w:r>
        <w:rPr>
          <w:iCs/>
          <w:i/>
        </w:rPr>
        <w:t xml:space="preserve">Teacher Primary</w:t>
      </w:r>
    </w:p>
    <w:p>
      <w:pPr>
        <w:numPr>
          <w:ilvl w:val="0"/>
          <w:numId w:val="1000"/>
        </w:numPr>
        <w:pStyle w:val="Compact"/>
      </w:pPr>
      <w:r>
        <w:t xml:space="preserve">in</w:t>
      </w:r>
      <w:r>
        <w:t xml:space="preserve"> </w:t>
      </w:r>
      <w:r>
        <w:rPr>
          <w:bCs/>
          <w:b/>
        </w:rPr>
        <w:t xml:space="preserve">Kenya Nairobi</w:t>
      </w:r>
      <w:r>
        <w:t xml:space="preserve">&gt; handles a student-teacher ratio of 1:50 to 1:80, making individualized feedback nearly impossible without significant systemic support.</w:t>
      </w:r>
    </w:p>
    <w:p>
      <w:pPr>
        <w:numPr>
          <w:ilvl w:val="0"/>
          <w:numId w:val="1002"/>
        </w:numPr>
        <w:pStyle w:val="Compact"/>
      </w:pPr>
      <w:r>
        <w:rPr>
          <w:bCs/>
          <w:b/>
        </w:rPr>
        <w:t xml:space="preserve">Inadequate Training:</w:t>
      </w:r>
      <w:r>
        <w:t xml:space="preserve"> </w:t>
      </w:r>
      <w:r>
        <w:t xml:space="preserve">While professional development workshops are organized by the Teachers Service Commission (TSC), many teachers report that these sessions are theoretical rather than practical, offering little guidance on how to manage large classes under CBC.</w:t>
      </w:r>
    </w:p>
    <w:p>
      <w:pPr>
        <w:numPr>
          <w:ilvl w:val="0"/>
          <w:numId w:val="1002"/>
        </w:numPr>
        <w:pStyle w:val="Compact"/>
      </w:pPr>
      <w:r>
        <w:rPr>
          <w:bCs/>
          <w:b/>
        </w:rPr>
        <w:t xml:space="preserve">Mental Health Strain:</w:t>
      </w:r>
      <w:r>
        <w:t xml:space="preserve"> </w:t>
      </w:r>
      <w:r>
        <w:t xml:space="preserve">The emotional labor required to support students from traumatic backgrounds contributes to high burnout rates among primary educators in the city.</w:t>
      </w:r>
    </w:p>
    <w:bookmarkEnd w:id="28"/>
    <w:bookmarkStart w:id="29" w:name="recommendations"/>
    <w:p>
      <w:pPr>
        <w:pStyle w:val="Heading2"/>
      </w:pPr>
      <w:r>
        <w:t xml:space="preserve">7. Recommendations</w:t>
      </w:r>
    </w:p>
    <w:p>
      <w:pPr>
        <w:pStyle w:val="FirstParagraph"/>
      </w:pPr>
      <w:r>
        <w:t xml:space="preserve">Based on the findings of this</w:t>
      </w:r>
      <w:r>
        <w:t xml:space="preserve"> </w:t>
      </w:r>
      <w:r>
        <w:rPr>
          <w:iCs/>
          <w:i/>
        </w:rPr>
        <w:t xml:space="preserve">Case Study</w:t>
      </w:r>
      <w:r>
        <w:t xml:space="preserve">, several strategic recommendations are proposed for stakeholders in</w:t>
      </w:r>
      <w:r>
        <w:t xml:space="preserve"> </w:t>
      </w:r>
      <w:r>
        <w:rPr>
          <w:bCs/>
          <w:b/>
        </w:rPr>
        <w:t xml:space="preserve">Kenya Nairobi</w:t>
      </w:r>
      <w:r>
        <w:t xml:space="preserve">:</w:t>
      </w:r>
    </w:p>
    <w:p>
      <w:pPr>
        <w:numPr>
          <w:ilvl w:val="0"/>
          <w:numId w:val="1003"/>
        </w:numPr>
        <w:pStyle w:val="Compact"/>
      </w:pPr>
      <w:r>
        <w:rPr>
          <w:bCs/>
          <w:b/>
        </w:rPr>
        <w:t xml:space="preserve">Prioritize Practical Training:</w:t>
      </w:r>
      <w:r>
        <w:t xml:space="preserve">TSC and school administrators should shift focus from theoretical seminars to hands-on workshops that simulate classroom management scenarios specific to large urban classes.</w:t>
      </w:r>
    </w:p>
    <w:p>
      <w:pPr>
        <w:numPr>
          <w:ilvl w:val="0"/>
          <w:numId w:val="1003"/>
        </w:numPr>
        <w:pStyle w:val="Compact"/>
      </w:pPr>
      <w:r>
        <w:t xml:space="preserve">To truly implement CBC,</w:t>
      </w:r>
      <w:r>
        <w:t xml:space="preserve"> </w:t>
      </w:r>
      <w:r>
        <w:rPr>
          <w:bCs/>
          <w:b/>
        </w:rPr>
        <w:t xml:space="preserve">Kenya Nairobi</w:t>
      </w:r>
      <w:r>
        <w:t xml:space="preserve">&gt; county governments must invest in infrastructure expansion. Reducing class sizes is not just a comfort measure but a pedagogical necessity for competency-based learning.</w:t>
      </w:r>
    </w:p>
    <w:p>
      <w:pPr>
        <w:numPr>
          <w:ilvl w:val="0"/>
          <w:numId w:val="1003"/>
        </w:numPr>
        <w:pStyle w:val="Compact"/>
      </w:pPr>
      <w:r>
        <w:rPr>
          <w:bCs/>
          <w:b/>
        </w:rPr>
        <w:t xml:space="preserve">Digital Equity Initiatives:</w:t>
      </w:r>
      <w:r>
        <w:t xml:space="preserve">Policies must be enacted to ensure that internet access and device availability are treated as basic educational rights, particularly in informal settlements. Partnerships with private tech companies could help bridge this gap.</w:t>
      </w:r>
    </w:p>
    <w:p>
      <w:pPr>
        <w:numPr>
          <w:ilvl w:val="0"/>
          <w:numId w:val="1003"/>
        </w:numPr>
        <w:pStyle w:val="Compact"/>
      </w:pPr>
      <w:r>
        <w:rPr>
          <w:bCs/>
          <w:b/>
        </w:rPr>
        <w:t xml:space="preserve">Support Systems for Teachers:</w:t>
      </w:r>
      <w:r>
        <w:t xml:space="preserve">Institutionalizing counseling services for educators can help mitigate burnout and improve retention rates in the city’s public schools.</w:t>
      </w:r>
    </w:p>
    <w:bookmarkEnd w:id="29"/>
    <w:bookmarkStart w:id="30" w:name="conclusion"/>
    <w:p>
      <w:pPr>
        <w:pStyle w:val="Heading2"/>
      </w:pPr>
      <w:r>
        <w:t xml:space="preserve">8. Conclusion</w:t>
      </w:r>
    </w:p>
    <w:p>
      <w:pPr>
        <w:pStyle w:val="FirstParagraph"/>
      </w:pPr>
      <w:r>
        <w:t xml:space="preserve">The trajectory of primary education in</w:t>
      </w:r>
      <w:r>
        <w:t xml:space="preserve"> </w:t>
      </w:r>
      <w:r>
        <w:rPr>
          <w:bCs/>
          <w:b/>
        </w:rPr>
        <w:t xml:space="preserve">Kenya Nairobi</w:t>
      </w:r>
      <w:r>
        <w:t xml:space="preserve"> </w:t>
      </w:r>
      <w:r>
        <w:t xml:space="preserve">is at a critical juncture. The</w:t>
      </w:r>
      <w:r>
        <w:t xml:space="preserve"> </w:t>
      </w:r>
      <w:r>
        <w:rPr>
          <w:iCs/>
          <w:i/>
        </w:rPr>
        <w:t xml:space="preserve">Teacher Primary</w:t>
      </w:r>
      <w:r>
        <w:t xml:space="preserve"> </w:t>
      </w:r>
      <w:r>
        <w:t xml:space="preserve">remains the linchpin of this transformation. Despite facing significant structural and resource-related challenges, these educators demonstrate remarkable adaptability and dedication. This</w:t>
      </w:r>
      <w:r>
        <w:t xml:space="preserve"> </w:t>
      </w:r>
      <w:r>
        <w:rPr>
          <w:iCs/>
          <w:i/>
        </w:rPr>
        <w:t xml:space="preserve">Case Study</w:t>
      </w:r>
      <w:r>
        <w:rPr>
          <w:bCs/>
          <w:b/>
        </w:rPr>
        <w:t xml:space="preserve">Kenya Nairobi</w:t>
      </w:r>
      <w:r>
        <w:t xml:space="preserve">&gt; must view the primary teacher not merely as an employee but as a strategic partner in nation-building. By addressing the systemic issues highlighted herein, stakeholders can unlock the full potential of Kenya’s human capital, starting with every child in a primary classroom.</w:t>
      </w:r>
    </w:p>
    <w:p>
      <w:pPr>
        <w:pStyle w:val="BodyText"/>
      </w:pPr>
      <w:r>
        <w:rPr>
          <w:iCs/>
          <w:i/>
        </w:rPr>
        <w:t xml:space="preserve">Note: This document is intended for educational planning purposes and policy review. All names of schools and specific teachers have been anonymized to protect confidentiality.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Transformation of Primary Education in Kenya Nairobi</dc:title>
  <dc:creator/>
  <dc:language>en</dc:language>
  <cp:keywords/>
  <dcterms:created xsi:type="dcterms:W3CDTF">2026-07-29T11:12:21Z</dcterms:created>
  <dcterms:modified xsi:type="dcterms:W3CDTF">2026-07-29T11:12:21Z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