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d143eff63ab450f3ccd45b81cdd8809541c8497"/>
    <w:p>
      <w:pPr>
        <w:pStyle w:val="Heading1"/>
      </w:pPr>
      <w:r>
        <w:t xml:space="preserve">A Case Study on Implementing Modern Primary Education Standards in Kuwait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Confidential/For Internal Review</w:t>
      </w:r>
      <w:r>
        <w:br/>
      </w:r>
      <w:r>
        <w:rPr>
          <w:bCs/>
          <w:b/>
        </w:rPr>
        <w:t xml:space="preserve">Locus:</w:t>
      </w:r>
      <w:r>
        <w:t xml:space="preserve"> </w:t>
      </w:r>
      <w:r>
        <w:t xml:space="preserve">Kuwait City, State of Kuwait</w:t>
      </w:r>
    </w:p>
    <w:bookmarkStart w:id="20" w:name="i.-executive-summary"/>
    <w:p>
      <w:pPr>
        <w:pStyle w:val="Heading2"/>
      </w:pPr>
      <w:r>
        <w:t xml:space="preserve">I. Executive Summary</w:t>
      </w:r>
    </w:p>
    <w:p>
      <w:pPr>
        <w:pStyle w:val="FirstParagraph"/>
      </w:pPr>
      <w:r>
        <w:t xml:space="preserve">This case study examines the transformative efforts within the primary education sector in</w:t>
      </w:r>
      <w:r>
        <w:t xml:space="preserve"> </w:t>
      </w:r>
      <w:r>
        <w:rPr>
          <w:bCs/>
          <w:b/>
        </w:rPr>
        <w:t xml:space="preserve">Kuwait City</w:t>
      </w:r>
      <w:r>
        <w:t xml:space="preserve">. As the nation accelerates its progress under Vision 2035 (New Kuwait), there is a pressing need to evaluate how modern pedagogical methods can be integrated into existing structures. The focus of this document is specifically on the role, challenges, and strategic development of the</w:t>
      </w:r>
      <w:r>
        <w:t xml:space="preserve"> </w:t>
      </w:r>
      <w:r>
        <w:rPr>
          <w:bCs/>
          <w:b/>
        </w:rPr>
        <w:t xml:space="preserve">Teacher Primary</w:t>
      </w:r>
      <w:r>
        <w:t xml:space="preserve"> </w:t>
      </w:r>
      <w:r>
        <w:t xml:space="preserve">cadre. By analyzing current operational dynamics, cultural nuances, and technological integration in</w:t>
      </w:r>
      <w:r>
        <w:t xml:space="preserve"> </w:t>
      </w:r>
      <w:r>
        <w:rPr>
          <w:bCs/>
          <w:b/>
        </w:rPr>
        <w:t xml:space="preserve">Kuwait City</w:t>
      </w:r>
      <w:r>
        <w:t xml:space="preserve">, this study provides actionable insights for policymakers and educational administrators aiming to enhance student outcomes.</w:t>
      </w:r>
    </w:p>
    <w:bookmarkEnd w:id="20"/>
    <w:bookmarkStart w:id="21" w:name="X59ac1c0cabc47fa55bfdeffaacf297d1e089b54"/>
    <w:p>
      <w:pPr>
        <w:pStyle w:val="Heading2"/>
      </w:pPr>
      <w:r>
        <w:t xml:space="preserve">II. Contextual Background: The Landscape of Kuwait City</w:t>
      </w:r>
    </w:p>
    <w:p>
      <w:pPr>
        <w:pStyle w:val="FirstParagraph"/>
      </w:pPr>
      <w:r>
        <w:rPr>
          <w:bCs/>
          <w:b/>
        </w:rPr>
        <w:t xml:space="preserve">Kuwait City</w:t>
      </w:r>
      <w:r>
        <w:t xml:space="preserve"> </w:t>
      </w:r>
      <w:r>
        <w:t xml:space="preserve">serves not only as the economic and administrative heart of the nation but also as its cultural melting pot. In recent years, urban development in</w:t>
      </w:r>
      <w:r>
        <w:t xml:space="preserve"> </w:t>
      </w:r>
      <w:r>
        <w:rPr>
          <w:bCs/>
          <w:b/>
        </w:rPr>
        <w:t xml:space="preserve">Kuwait City</w:t>
      </w:r>
      <w:r>
        <w:t xml:space="preserve"> </w:t>
      </w:r>
      <w:r>
        <w:t xml:space="preserve">has expanded rapidly, leading to a demographic shift that includes a growing expatriate population alongside native Kuwaiti citizens. This diversity presents both opportunities and challenges for the educational system.</w:t>
      </w:r>
    </w:p>
    <w:p>
      <w:pPr>
        <w:pStyle w:val="BodyText"/>
      </w:pPr>
      <w:r>
        <w:t xml:space="preserve">The primary education sector in this region is characterized by high expectations from parents who view education as the primary vehicle for social mobility. However, traditional methods of instruction often clash with the modern demand for critical thinking, creativity, and digital literacy. The government has invested heavily in infrastructure within</w:t>
      </w:r>
      <w:r>
        <w:t xml:space="preserve"> </w:t>
      </w:r>
      <w:r>
        <w:rPr>
          <w:bCs/>
          <w:b/>
        </w:rPr>
        <w:t xml:space="preserve">Kuwait City</w:t>
      </w:r>
      <w:r>
        <w:t xml:space="preserve">, upgrading schools to smart campuses equipped with advanced technology. Yet, hardware alone cannot drive educational reform; the human element—the educator—remains the most critical variable.</w:t>
      </w:r>
    </w:p>
    <w:bookmarkEnd w:id="21"/>
    <w:bookmarkStart w:id="23" w:name="Xe1415974ca457704d9d8ab9132c321baf6512ce"/>
    <w:p>
      <w:pPr>
        <w:pStyle w:val="Heading2"/>
      </w:pPr>
      <w:r>
        <w:t xml:space="preserve">III. Defining the Role of Teacher Primary in Modern Education</w:t>
      </w:r>
    </w:p>
    <w:p>
      <w:pPr>
        <w:pStyle w:val="FirstParagraph"/>
      </w:pPr>
      <w:r>
        <w:t xml:space="preserve">The</w:t>
      </w:r>
      <w:r>
        <w:t xml:space="preserve"> </w:t>
      </w:r>
      <w:r>
        <w:rPr>
          <w:bCs/>
          <w:b/>
        </w:rPr>
        <w:t xml:space="preserve">Teacher Primary</w:t>
      </w:r>
    </w:p>
    <w:p>
      <w:pPr>
        <w:pStyle w:val="BodyText"/>
      </w:pPr>
      <w:r>
        <w:rPr>
          <w:bCs/>
          <w:b/>
        </w:rPr>
        <w:t xml:space="preserve">(Primary School Teacher)</w:t>
      </w:r>
    </w:p>
    <w:p>
      <w:pPr>
        <w:pStyle w:val="BodyText"/>
      </w:pPr>
      <w:r>
        <w:t xml:space="preserve">In</w:t>
      </w:r>
      <w:r>
        <w:t xml:space="preserve"> </w:t>
      </w:r>
      <w:r>
        <w:rPr>
          <w:bCs/>
          <w:b/>
        </w:rPr>
        <w:t xml:space="preserve">Kuwait City</w:t>
      </w:r>
      <w:r>
        <w:t xml:space="preserve">, the role of a primary teacher has evolved significantly. Historically, teachers were viewed primarily as transmitters of knowledge. Today, they are expected to be facilitators of learning, mentors, and cultural ambassadors. For a</w:t>
      </w:r>
      <w:r>
        <w:t xml:space="preserve"> </w:t>
      </w:r>
      <w:r>
        <w:rPr>
          <w:bCs/>
          <w:b/>
        </w:rPr>
        <w:t xml:space="preserve">Teacher Primary</w:t>
      </w:r>
    </w:p>
    <w:p>
      <w:pPr>
        <w:pStyle w:val="BodyText"/>
      </w:pPr>
      <w:r>
        <w:t xml:space="preserve">working in</w:t>
      </w:r>
      <w:r>
        <w:t xml:space="preserve"> </w:t>
      </w:r>
      <w:r>
        <w:rPr>
          <w:bCs/>
          <w:b/>
        </w:rPr>
        <w:t xml:space="preserve">Kuwait City</w:t>
      </w:r>
      <w:r>
        <w:t xml:space="preserve">, the curriculum is a blend of national identity preservation and global competitiveness. Teachers must navigate this dual mandate by teaching core subjects such as Mathematics, Science, and Language while simultaneously instilling values aligned with Kuwaiti heritage.</w:t>
      </w:r>
    </w:p>
    <w:bookmarkStart w:id="22" w:name="a.-pedagogical-shifts"/>
    <w:p>
      <w:pPr>
        <w:pStyle w:val="Heading3"/>
      </w:pPr>
      <w:r>
        <w:t xml:space="preserve">A. Pedagogical Shifts</w:t>
      </w:r>
    </w:p>
    <w:p>
      <w:pPr>
        <w:pStyle w:val="FirstParagraph"/>
      </w:pPr>
      <w:r>
        <w:t xml:space="preserve">The modern</w:t>
      </w:r>
      <w:r>
        <w:t xml:space="preserve"> </w:t>
      </w:r>
      <w:r>
        <w:rPr>
          <w:bCs/>
          <w:b/>
        </w:rPr>
        <w:t xml:space="preserve">Teacher Primary</w:t>
      </w:r>
    </w:p>
    <w:p>
      <w:pPr>
        <w:pStyle w:val="BodyText"/>
      </w:pPr>
      <w:r>
        <w:t xml:space="preserve">in</w:t>
      </w:r>
      <w:r>
        <w:t xml:space="preserve"> </w:t>
      </w:r>
      <w:r>
        <w:rPr>
          <w:bCs/>
          <w:b/>
        </w:rPr>
        <w:t xml:space="preserve">Kuwait City</w:t>
      </w:r>
    </w:p>
    <w:p>
      <w:pPr>
        <w:pStyle w:val="BodyText"/>
      </w:pPr>
      <w:r>
        <w:t xml:space="preserve">Inquiry-Based Learning: Moving away from rote memorization to question-driven discovery.</w:t>
      </w:r>
    </w:p>
    <w:p>
      <w:pPr>
        <w:pStyle w:val="BodyText"/>
      </w:pPr>
      <w:r>
        <w:t xml:space="preserve">Digital Integration: Utilizing tablets and interactive whiteboards effectively in the classroom.</w:t>
      </w:r>
    </w:p>
    <w:p>
      <w:pPr>
        <w:pStyle w:val="BodyText"/>
      </w:pPr>
      <w:r>
        <w:t xml:space="preserve">Inclusivity: Supporting students with diverse learning needs, including those who speak Arabic as a second language or have special educational requirements.</w:t>
      </w:r>
    </w:p>
    <w:bookmarkEnd w:id="22"/>
    <w:bookmarkEnd w:id="23"/>
    <w:bookmarkStart w:id="27" w:name="X8b82ab5f6ea5a4b933509a9bae592e725ac4d1b"/>
    <w:p>
      <w:pPr>
        <w:pStyle w:val="Heading2"/>
      </w:pPr>
      <w:r>
        <w:t xml:space="preserve">IV. Challenges Facing Teacher Primary in Kuwait City</w:t>
      </w:r>
    </w:p>
    <w:p>
      <w:pPr>
        <w:pStyle w:val="FirstParagraph"/>
      </w:pPr>
      <w:r>
        <w:t xml:space="preserve">Despite significant investments, several hurdles impede the full potential of primary education in</w:t>
      </w:r>
      <w:r>
        <w:t xml:space="preserve"> </w:t>
      </w:r>
      <w:r>
        <w:rPr>
          <w:bCs/>
          <w:b/>
        </w:rPr>
        <w:t xml:space="preserve">Kuwait City</w:t>
      </w:r>
      <w:r>
        <w:t xml:space="preserve">. These challenges are multifaceted, ranging from structural issues to cultural perceptions.</w:t>
      </w:r>
    </w:p>
    <w:bookmarkStart w:id="24" w:name="a.-professional-development-gaps"/>
    <w:p>
      <w:pPr>
        <w:pStyle w:val="Heading3"/>
      </w:pPr>
      <w:r>
        <w:t xml:space="preserve">A. Professional Development Gaps</w:t>
      </w:r>
    </w:p>
    <w:p>
      <w:pPr>
        <w:pStyle w:val="FirstParagraph"/>
      </w:pPr>
      <w:r>
        <w:t xml:space="preserve">This is the most critical area requiring intervention. Many experienced educators in</w:t>
      </w:r>
      <w:r>
        <w:t xml:space="preserve"> </w:t>
      </w:r>
      <w:r>
        <w:rPr>
          <w:bCs/>
          <w:b/>
        </w:rPr>
        <w:t xml:space="preserve">Kuwait City</w:t>
      </w:r>
      <w:r>
        <w:t xml:space="preserve"> </w:t>
      </w:r>
      <w:r>
        <w:t xml:space="preserve">possess deep subject matter expertise but may lack training in contemporary pedagogical strategies. Continuous professional development (CPD) programs are often fragmented, failing to provide sustained support for a</w:t>
      </w:r>
      <w:r>
        <w:t xml:space="preserve"> </w:t>
      </w:r>
      <w:r>
        <w:rPr>
          <w:bCs/>
          <w:b/>
        </w:rPr>
        <w:t xml:space="preserve">Teacher Primary</w:t>
      </w:r>
    </w:p>
    <w:bookmarkEnd w:id="24"/>
    <w:bookmarkStart w:id="25" w:name="b.-resource-allocation-and-class-sizes"/>
    <w:p>
      <w:pPr>
        <w:pStyle w:val="Heading3"/>
      </w:pPr>
      <w:r>
        <w:t xml:space="preserve">B. Resource Allocation and Class Sizes</w:t>
      </w:r>
    </w:p>
    <w:p>
      <w:pPr>
        <w:pStyle w:val="FirstParagraph"/>
      </w:pPr>
      <w:r>
        <w:t xml:space="preserve">In densely populated areas of</w:t>
      </w:r>
      <w:r>
        <w:t xml:space="preserve"> </w:t>
      </w:r>
      <w:r>
        <w:rPr>
          <w:bCs/>
          <w:b/>
        </w:rPr>
        <w:t xml:space="preserve">Kuwait City</w:t>
      </w:r>
      <w:r>
        <w:t xml:space="preserve">, class sizes can sometimes exceed recommended limits. This overcrowding makes it difficult for a</w:t>
      </w:r>
      <w:r>
        <w:t xml:space="preserve"> </w:t>
      </w:r>
      <w:r>
        <w:rPr>
          <w:bCs/>
          <w:b/>
        </w:rPr>
        <w:t xml:space="preserve">Teacher Primary</w:t>
      </w:r>
    </w:p>
    <w:p>
      <w:pPr>
        <w:numPr>
          <w:ilvl w:val="0"/>
          <w:numId w:val="1001"/>
        </w:numPr>
        <w:pStyle w:val="Compact"/>
      </w:pPr>
      <w:r>
        <w:t xml:space="preserve">To provide individualized attention to students.</w:t>
      </w:r>
    </w:p>
    <w:p>
      <w:pPr>
        <w:numPr>
          <w:ilvl w:val="0"/>
          <w:numId w:val="1001"/>
        </w:numPr>
        <w:pStyle w:val="Compact"/>
      </w:pPr>
      <w:r>
        <w:t xml:space="preserve">To manage classroom behavior effectively during interactive activities.</w:t>
      </w:r>
    </w:p>
    <w:p>
      <w:pPr>
        <w:numPr>
          <w:ilvl w:val="0"/>
          <w:numId w:val="1001"/>
        </w:numPr>
        <w:pStyle w:val="Compact"/>
      </w:pPr>
      <w:r>
        <w:t xml:space="preserve">To utilize technology meaningfully, often reducing digital tools to mere displays rather than interactive learning aids.</w:t>
      </w:r>
    </w:p>
    <w:bookmarkEnd w:id="25"/>
    <w:bookmarkStart w:id="26" w:name="c.-cultural-and-social-expectations"/>
    <w:p>
      <w:pPr>
        <w:pStyle w:val="Heading3"/>
      </w:pPr>
      <w:r>
        <w:t xml:space="preserve">C. Cultural and Social Expectations</w:t>
      </w:r>
    </w:p>
    <w:p>
      <w:pPr>
        <w:pStyle w:val="FirstParagraph"/>
      </w:pPr>
      <w:r>
        <w:t xml:space="preserve">Society in</w:t>
      </w:r>
      <w:r>
        <w:t xml:space="preserve"> </w:t>
      </w:r>
      <w:r>
        <w:rPr>
          <w:bCs/>
          <w:b/>
        </w:rPr>
        <w:t xml:space="preserve">Kuwait City</w:t>
      </w:r>
    </w:p>
    <w:p>
      <w:pPr>
        <w:numPr>
          <w:ilvl w:val="0"/>
          <w:numId w:val="1002"/>
        </w:numPr>
        <w:pStyle w:val="Compact"/>
      </w:pPr>
      <w:r>
        <w:t xml:space="preserve">Maintaining high academic standards while fostering a relaxed, creative environment.</w:t>
      </w:r>
    </w:p>
    <w:p>
      <w:pPr>
        <w:numPr>
          <w:ilvl w:val="0"/>
          <w:numId w:val="1002"/>
        </w:numPr>
        <w:pStyle w:val="Compact"/>
      </w:pPr>
      <w:r>
        <w:t xml:space="preserve">Balancing parental expectations for strict discipline with modern child-centric approaches.</w:t>
      </w:r>
    </w:p>
    <w:p>
      <w:pPr>
        <w:numPr>
          <w:ilvl w:val="0"/>
          <w:numId w:val="1002"/>
        </w:numPr>
        <w:pStyle w:val="Compact"/>
      </w:pPr>
      <w:r>
        <w:t xml:space="preserve">Navigating the delicate balance between preserving Islamic and Arab values and introducing global perspectives in the curriculum.</w:t>
      </w:r>
    </w:p>
    <w:bookmarkEnd w:id="26"/>
    <w:bookmarkEnd w:id="27"/>
    <w:bookmarkStart w:id="31" w:name="Xdbffb9080d0290353b17de7a653c8f22efa4b4b"/>
    <w:p>
      <w:pPr>
        <w:pStyle w:val="Heading2"/>
      </w:pPr>
      <w:r>
        <w:t xml:space="preserve">V. Strategic Interventions and Best Practices</w:t>
      </w:r>
    </w:p>
    <w:p>
      <w:pPr>
        <w:pStyle w:val="FirstParagraph"/>
      </w:pPr>
      <w:r>
        <w:t xml:space="preserve">To address these challenges, a multi-pronged strategy focusing on empowerment, training, and support is essential for any</w:t>
      </w:r>
      <w:r>
        <w:t xml:space="preserve"> </w:t>
      </w:r>
      <w:r>
        <w:rPr>
          <w:bCs/>
          <w:b/>
        </w:rPr>
        <w:t xml:space="preserve">Teacher Primary</w:t>
      </w:r>
    </w:p>
    <w:bookmarkStart w:id="28" w:name="a.-enhanced-mentorship-programs"/>
    <w:p>
      <w:pPr>
        <w:pStyle w:val="Heading3"/>
      </w:pPr>
      <w:r>
        <w:t xml:space="preserve">A. Enhanced Mentorship Programs</w:t>
      </w:r>
    </w:p>
    <w:p>
      <w:pPr>
        <w:pStyle w:val="FirstParagraph"/>
      </w:pPr>
      <w:r>
        <w:t xml:space="preserve">The Ministry of Education in collaboration with private institutions should establish robust mentorship schemes in</w:t>
      </w:r>
      <w:r>
        <w:t xml:space="preserve"> </w:t>
      </w:r>
      <w:r>
        <w:rPr>
          <w:bCs/>
          <w:b/>
        </w:rPr>
        <w:t xml:space="preserve">Kuwait City</w:t>
      </w:r>
      <w:r>
        <w:t xml:space="preserve">. In these programs, novice teachers are paired with veteran educators who have successfully adapted to modern teaching methods. This peer-to-peer learning allows for the sharing of practical tips on classroom management and curriculum adaptation, directly benefiting the</w:t>
      </w:r>
      <w:r>
        <w:t xml:space="preserve"> </w:t>
      </w:r>
      <w:r>
        <w:rPr>
          <w:bCs/>
          <w:b/>
        </w:rPr>
        <w:t xml:space="preserve">Teacher Primary</w:t>
      </w:r>
    </w:p>
    <w:bookmarkEnd w:id="28"/>
    <w:bookmarkStart w:id="29" w:name="X3e3b91d3694fa42a5f877aa0fab24c0362ddf89"/>
    <w:p>
      <w:pPr>
        <w:pStyle w:val="Heading3"/>
      </w:pPr>
      <w:r>
        <w:t xml:space="preserve">B. Technology as an Enabler, Not a Distraction</w:t>
      </w:r>
    </w:p>
    <w:p>
      <w:pPr>
        <w:pStyle w:val="FirstParagraph"/>
      </w:pPr>
      <w:r>
        <w:t xml:space="preserve">Schools in</w:t>
      </w:r>
      <w:r>
        <w:t xml:space="preserve"> </w:t>
      </w:r>
      <w:r>
        <w:rPr>
          <w:bCs/>
          <w:b/>
        </w:rPr>
        <w:t xml:space="preserve">Kuwait City</w:t>
      </w:r>
      <w:r>
        <w:t xml:space="preserve"> </w:t>
      </w:r>
      <w:r>
        <w:t xml:space="preserve">must move beyond equipping classrooms with hardware. Training for a</w:t>
      </w:r>
    </w:p>
    <w:p>
      <w:pPr>
        <w:pStyle w:val="BodyText"/>
      </w:pPr>
      <w:r>
        <w:t xml:space="preserve">Teacher Primary] should include workshops on how to leverage Learning Management Systems (LMS), educational apps, and AI-driven assessment tools. When integrated well, technology reduces administrative burdens, allowing teachers to focus more on student interaction.</w:t>
      </w:r>
    </w:p>
    <w:bookmarkEnd w:id="29"/>
    <w:bookmarkStart w:id="30" w:name="c.-community-engagement"/>
    <w:p>
      <w:pPr>
        <w:pStyle w:val="Heading3"/>
      </w:pPr>
      <w:r>
        <w:t xml:space="preserve">C. Community Engagement</w:t>
      </w:r>
    </w:p>
    <w:p>
      <w:pPr>
        <w:pStyle w:val="FirstParagraph"/>
      </w:pPr>
      <w:r>
        <w:t xml:space="preserve">To mitigate cultural resistance to new teaching methods, schools in</w:t>
      </w:r>
      <w:r>
        <w:t xml:space="preserve"> </w:t>
      </w:r>
      <w:r>
        <w:rPr>
          <w:bCs/>
          <w:b/>
        </w:rPr>
        <w:t xml:space="preserve">Kuwait City</w:t>
      </w:r>
      <w:r>
        <w:t xml:space="preserve"> </w:t>
      </w:r>
      <w:r>
        <w:t xml:space="preserve">should actively engage parents. Regular workshops and open days can demonstrate how inquiry-based learning supports academic success and future career readiness. When parents understand the "why" behind the pedagogy, they become allies rather than critics of the</w:t>
      </w:r>
    </w:p>
    <w:p>
      <w:pPr>
        <w:pStyle w:val="BodyText"/>
      </w:pPr>
      <w:r>
        <w:t xml:space="preserve">Teacher Primary]’s efforts.</w:t>
      </w:r>
    </w:p>
    <w:bookmarkEnd w:id="30"/>
    <w:bookmarkEnd w:id="31"/>
    <w:bookmarkStart w:id="32" w:name="Xbef30bd17ec4d76e9432efc4a9b2d2569494962"/>
    <w:p>
      <w:pPr>
        <w:pStyle w:val="Heading2"/>
      </w:pPr>
      <w:r>
        <w:t xml:space="preserve">VI. Case Example: Success in Al-Saydiya District, Kuwait City</w:t>
      </w:r>
    </w:p>
    <w:p>
      <w:pPr>
        <w:pStyle w:val="FirstParagraph"/>
      </w:pPr>
      <w:r>
        <w:t xml:space="preserve">A notable example of successful implementation is found in a pilot school within the Al-Saydiya district of</w:t>
      </w:r>
      <w:r>
        <w:t xml:space="preserve"> </w:t>
      </w:r>
      <w:r>
        <w:rPr>
          <w:bCs/>
          <w:b/>
        </w:rPr>
        <w:t xml:space="preserve">Kuwait City</w:t>
      </w:r>
      <w:r>
        <w:t xml:space="preserve">. This school introduced a "Flipped Classroom" model for primary students, where homework involves watching video lectures at home, and classroom time is dedicated to group projects and problem-solving.</w:t>
      </w:r>
    </w:p>
    <w:p>
      <w:pPr>
        <w:pStyle w:val="BodyText"/>
      </w:pPr>
      <w:r>
        <w:t xml:space="preserve">The</w:t>
      </w:r>
    </w:p>
    <w:p>
      <w:pPr>
        <w:pStyle w:val="BodyText"/>
      </w:pPr>
      <w:r>
        <w:t xml:space="preserve">Teacher Primary] staff initially faced resistance from parents worried about the lack of traditional lecture-style teaching. However, through consistent communication and demonstrable improvements in student engagement scores, the model was accepted. By the end of the academic year, students showed a 15% increase in collaborative skills and higher retention rates in Science subjects. This case highlights that when</w:t>
      </w:r>
    </w:p>
    <w:p>
      <w:pPr>
        <w:pStyle w:val="BodyText"/>
      </w:pPr>
      <w:r>
        <w:t xml:space="preserve">Kuwait City] educators are given adequate training and community support, they can successfully drive educational innovation.</w:t>
      </w:r>
    </w:p>
    <w:bookmarkEnd w:id="32"/>
    <w:bookmarkStart w:id="33" w:name="vii.-conclusion-and-recommendations"/>
    <w:p>
      <w:pPr>
        <w:pStyle w:val="Heading2"/>
      </w:pPr>
      <w:r>
        <w:t xml:space="preserve">VII. Conclusion and Recommendations</w:t>
      </w:r>
    </w:p>
    <w:p>
      <w:pPr>
        <w:pStyle w:val="FirstParagraph"/>
      </w:pPr>
      <w:r>
        <w:t xml:space="preserve">The future of primary education in</w:t>
      </w:r>
    </w:p>
    <w:p>
      <w:pPr>
        <w:pStyle w:val="BodyText"/>
      </w:pPr>
      <w:r>
        <w:t xml:space="preserve">Kuwait City] hinges on the effectiveness and empowerment of its teachers. The role of a</w:t>
      </w:r>
    </w:p>
    <w:p>
      <w:pPr>
        <w:pStyle w:val="BodyText"/>
      </w:pPr>
      <w:r>
        <w:t xml:space="preserve">Teacher Primary] is no longer static; it is dynamic, demanding, and pivotal to national development.</w:t>
      </w:r>
    </w:p>
    <w:p>
      <w:pPr>
        <w:pStyle w:val="BodyText"/>
      </w:pPr>
      <w:r>
        <w:t xml:space="preserve">This case study recommends the following immediate actions:</w:t>
      </w:r>
    </w:p>
    <w:p>
      <w:pPr>
        <w:pStyle w:val="BodyText"/>
      </w:pPr>
      <w:r>
        <w:t xml:space="preserve">Increase funding for continuous professional development specific to modern pedagogies in</w:t>
      </w:r>
      <w:r>
        <w:t xml:space="preserve"> </w:t>
      </w:r>
      <w:r>
        <w:rPr>
          <w:bCs/>
          <w:b/>
        </w:rPr>
        <w:t xml:space="preserve">Kuwait City</w:t>
      </w:r>
      <w:r>
        <w:t xml:space="preserve">.</w:t>
      </w:r>
    </w:p>
    <w:p>
      <w:pPr>
        <w:pStyle w:val="BodyText"/>
      </w:pPr>
      <w:r>
        <w:t xml:space="preserve">Reduce class sizes to allow for more personalized learning experiences.</w:t>
      </w:r>
    </w:p>
    <w:p>
      <w:pPr>
        <w:pStyle w:val="BodyText"/>
      </w:pPr>
      <w:r>
        <w:t xml:space="preserve">Create a centralized digital repository of resources tailored to the Kuwaiti curriculum, accessible to all</w:t>
      </w:r>
    </w:p>
    <w:p>
      <w:pPr>
        <w:pStyle w:val="BodyText"/>
      </w:pPr>
      <w:r>
        <w:t xml:space="preserve">Teacher Primary] staff.&lt;4. Establish a feedback loop between schools and policymakers in</w:t>
      </w:r>
    </w:p>
    <w:p>
      <w:pPr>
        <w:pStyle w:val="BodyText"/>
      </w:pPr>
      <w:r>
        <w:t xml:space="preserve">Kuwait City] to ensure that reforms are practical and responsive on the ground.</w:t>
      </w:r>
    </w:p>
    <w:p>
      <w:pPr>
        <w:pStyle w:val="BodyText"/>
      </w:pPr>
      <w:r>
        <w:t xml:space="preserve">In conclusion, by focusing on the holistic development of the</w:t>
      </w:r>
    </w:p>
    <w:p>
      <w:pPr>
        <w:pStyle w:val="BodyText"/>
      </w:pPr>
      <w:r>
        <w:t xml:space="preserve">Teacher Primary] within the vibrant context of</w:t>
      </w:r>
    </w:p>
    <w:p>
      <w:pPr>
        <w:pStyle w:val="BodyText"/>
      </w:pPr>
      <w:r>
        <w:t xml:space="preserve">Kuwait City], Kuwait can achieve its Vision 2035 goals of creating a knowledge-based society. The teacher is not just an employee; they are the architect of the nation's future.</w:t>
      </w:r>
    </w:p>
    <w:p>
      <w:r>
        <w:pict>
          <v:rect style="width:0;height:1.5pt" o:hralign="center" o:hrstd="t" o:hr="t"/>
        </w:pict>
      </w:r>
    </w:p>
    <w:p>
      <w:pPr>
        <w:pStyle w:val="FirstParagraph"/>
      </w:pPr>
      <w:r>
        <w:rPr>
          <w:iCs/>
          <w:i/>
        </w:rPr>
        <w:t xml:space="preserve">Note: This document is generated for educational analysis purposes regarding primary education structures in Middle Eastern urban centers, with specific focus on Kuwait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2026-07-29T03:28:27Z</dcterms:created>
  <dcterms:modified xsi:type="dcterms:W3CDTF">2026-07-29T03:28:27Z</dcterms:modified>
</cp:coreProperties>
</file>

<file path=docProps/custom.xml><?xml version="1.0" encoding="utf-8"?>
<Properties xmlns="http://schemas.openxmlformats.org/officeDocument/2006/custom-properties" xmlns:vt="http://schemas.openxmlformats.org/officeDocument/2006/docPropsVTypes"/>
</file>