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8b653c70d66f4ed9b37f74808ebbfe8ac38993"/>
    <w:p>
      <w:pPr>
        <w:pStyle w:val="Heading1"/>
      </w:pPr>
      <w:r>
        <w:t xml:space="preserve">A Comprehensive Case Study on the Implementation of Secondary Education Teachers in Argentina Córdoba</w:t>
      </w:r>
    </w:p>
    <w:p>
      <w:pPr>
        <w:pStyle w:val="FirstParagraph"/>
      </w:pPr>
      <w:r>
        <w:rPr>
          <w:bCs/>
          <w:b/>
        </w:rPr>
        <w:t xml:space="preserve">Date:</w:t>
      </w:r>
      <w:r>
        <w:t xml:space="preserve"> </w:t>
      </w:r>
      <w:r>
        <w:t xml:space="preserve">October 24, 2023</w:t>
      </w:r>
      <w:r>
        <w:br/>
      </w:r>
      <w:r>
        <w:rPr>
          <w:bCs/>
          <w:b/>
        </w:rPr>
        <w:t xml:space="preserve">Region:</w:t>
      </w:r>
      <w:r>
        <w:t xml:space="preserve"> </w:t>
      </w:r>
      <w:r>
        <w:t xml:space="preserve">Córdoba Province, Argentina</w:t>
      </w:r>
      <w:r>
        <w:br/>
      </w:r>
      <w:r>
        <w:rPr>
          <w:bCs/>
          <w:b/>
        </w:rPr>
        <w:t xml:space="preserve">Focal Subject:</w:t>
      </w:r>
      <w:r>
        <w:t xml:space="preserve"> </w:t>
      </w:r>
      <w:r>
        <w:t xml:space="preserve">Teacher Secondary Professional Development and Integration</w:t>
      </w:r>
    </w:p>
    <w:bookmarkStart w:id="20" w:name="introduction-and-contextual-overview"/>
    <w:p>
      <w:pPr>
        <w:pStyle w:val="Heading2"/>
      </w:pPr>
      <w:r>
        <w:t xml:space="preserve">1. Introduction and Contextual Overview</w:t>
      </w:r>
    </w:p>
    <w:p>
      <w:pPr>
        <w:pStyle w:val="FirstParagraph"/>
      </w:pPr>
      <w:r>
        <w:t xml:space="preserve">The educational landscape of</w:t>
      </w:r>
      <w:r>
        <w:t xml:space="preserve"> </w:t>
      </w:r>
      <w:hyperlink w:anchor="Xa39a3ee5e6b4b0d3255bfef95601890afd80709">
        <w:r>
          <w:rPr>
            <w:rStyle w:val="Hyperlink"/>
          </w:rPr>
          <w:t xml:space="preserve">Argentina Córdoba</w:t>
        </w:r>
      </w:hyperlink>
      <w:r>
        <w:t xml:space="preserve">, a province known for its rich cultural heritage and robust academic tradition, stands at a critical juncture in the evolution of secondary education. As the national curriculum undergoes continuous reform to meet the demands of a rapidly changing global economy, the role of the</w:t>
      </w:r>
      <w:r>
        <w:t xml:space="preserve"> </w:t>
      </w:r>
      <w:r>
        <w:rPr>
          <w:bCs/>
          <w:b/>
        </w:rPr>
        <w:t xml:space="preserve">Teacher Secondary</w:t>
      </w:r>
      <w:r>
        <w:t xml:space="preserve"> </w:t>
      </w:r>
      <w:r>
        <w:t xml:space="preserve">professional has become more complex than ever before. This case study aims to dissect the current state of secondary teaching in Córdoba, focusing on pedagogical challenges, technological integration, and socio-emotional support systems required within high schools across major urban centers like Córdoba Capital and smaller municipalities such as Villa María or Río Cuarto.</w:t>
      </w:r>
    </w:p>
    <w:p>
      <w:pPr>
        <w:pStyle w:val="BodyText"/>
      </w:pPr>
      <w:r>
        <w:t xml:space="preserve">In Argentina’s federal system, education is a shared responsibility between the national government and provincial authorities. However, the specific implementation strategies often vary by region.</w:t>
      </w:r>
      <w:r>
        <w:t xml:space="preserve"> </w:t>
      </w:r>
      <w:hyperlink w:anchor="Xa39a3ee5e6b4b0d3255bfef95601890afd80709">
        <w:r>
          <w:rPr>
            <w:rStyle w:val="Hyperlink"/>
          </w:rPr>
          <w:t xml:space="preserve">Argentina Córdoba</w:t>
        </w:r>
      </w:hyperlink>
      <w:r>
        <w:t xml:space="preserve"> </w:t>
      </w:r>
      <w:r>
        <w:t xml:space="preserve">has positioned itself as a leader in educational innovation within the interior of the country. Consequently, understanding how</w:t>
      </w:r>
      <w:r>
        <w:t xml:space="preserve"> </w:t>
      </w:r>
      <w:r>
        <w:rPr>
          <w:bCs/>
          <w:b/>
        </w:rPr>
        <w:t xml:space="preserve">Teacher Secondary</w:t>
      </w:r>
      <w:r>
        <w:t xml:space="preserve"> </w:t>
      </w:r>
      <w:r>
        <w:t xml:space="preserve">professionals navigate this environment provides valuable insights into broader trends affecting Latin American secondary education.</w:t>
      </w:r>
    </w:p>
    <w:bookmarkEnd w:id="20"/>
    <w:bookmarkStart w:id="23" w:name="Xa8e29daaae6c3ed7fdf2ddf810e24520e49f721"/>
    <w:p>
      <w:pPr>
        <w:pStyle w:val="Heading2"/>
      </w:pPr>
      <w:r>
        <w:t xml:space="preserve">2. The Role and Challenges of the Teacher Secondary Professional</w:t>
      </w:r>
    </w:p>
    <w:p>
      <w:pPr>
        <w:pStyle w:val="FirstParagraph"/>
      </w:pPr>
      <w:r>
        <w:t xml:space="preserve">The definition of a</w:t>
      </w:r>
      <w:r>
        <w:t xml:space="preserve"> </w:t>
      </w:r>
      <w:r>
        <w:rPr>
          <w:bCs/>
          <w:b/>
        </w:rPr>
        <w:t xml:space="preserve">Teacher Secondary</w:t>
      </w:r>
      <w:r>
        <w:t xml:space="preserve">Argentina Córdoba, these educators serve as mentors, curriculum designers, behavioral guides, and technological facilitators. The case study identifies several key challenges facing this demographic:</w:t>
      </w:r>
    </w:p>
    <w:bookmarkStart w:id="21" w:name="bridging-the-digital-divide"/>
    <w:p>
      <w:pPr>
        <w:pStyle w:val="Heading3"/>
      </w:pPr>
      <w:r>
        <w:t xml:space="preserve">2.1 Bridging the Digital Divide</w:t>
      </w:r>
    </w:p>
    <w:p>
      <w:pPr>
        <w:pStyle w:val="FirstParagraph"/>
      </w:pPr>
      <w:r>
        <w:t xml:space="preserve">While the pandemic accelerated digital adoption nationwide, a significant gap remains in</w:t>
      </w:r>
      <w:r>
        <w:t xml:space="preserve"> </w:t>
      </w:r>
      <w:hyperlink w:anchor="Xa39a3ee5e6b4b0d3255bfef95601890afd80709">
        <w:r>
          <w:rPr>
            <w:rStyle w:val="Hyperlink"/>
          </w:rPr>
          <w:t xml:space="preserve">Argentina Córdoba</w:t>
        </w:r>
      </w:hyperlink>
      <w:r>
        <w:t xml:space="preserve">. Rural schools often lack reliable internet infrastructure, while urban schools may suffer from outdated hardware. For the</w:t>
      </w:r>
    </w:p>
    <w:p>
      <w:pPr>
        <w:pStyle w:val="BodyText"/>
      </w:pPr>
      <w:r>
        <w:t xml:space="preserve">Teacher Secondary professional, this disparity requires immense adaptability. Educators are expected to master Learning Management Systems (LMS), create hybrid learning materials, and ensure that digital literacy is not just a tool but a core competency for their students.</w:t>
      </w:r>
    </w:p>
    <w:bookmarkEnd w:id="21"/>
    <w:bookmarkStart w:id="22" w:name="Xd32f67442d6c720f98cbd438501c1a37ff0197e"/>
    <w:p>
      <w:pPr>
        <w:pStyle w:val="Heading3"/>
      </w:pPr>
      <w:r>
        <w:t xml:space="preserve">2.2 Socio-Economic Inequality and Student Retention</w:t>
      </w:r>
    </w:p>
    <w:p>
      <w:pPr>
        <w:pStyle w:val="FirstParagraph"/>
      </w:pPr>
      <w:r>
        <w:t xml:space="preserve">Inequality is a pressing issue in many parts of the province. The</w:t>
      </w:r>
      <w:r>
        <w:t xml:space="preserve"> </w:t>
      </w:r>
      <w:r>
        <w:rPr>
          <w:bCs/>
          <w:b/>
        </w:rPr>
        <w:t xml:space="preserve">Teacher Secondary</w:t>
      </w:r>
    </w:p>
    <w:bookmarkEnd w:id="22"/>
    <w:bookmarkEnd w:id="23"/>
    <w:bookmarkStart w:id="26" w:name="X9599970e4a2c857df079ee89027cfddfc80aa01"/>
    <w:p>
      <w:pPr>
        <w:pStyle w:val="Heading2"/>
      </w:pPr>
      <w:r>
        <w:t xml:space="preserve">3. Pedagogical Shifts in the Argentine Context</w:t>
      </w:r>
    </w:p>
    <w:p>
      <w:pPr>
        <w:pStyle w:val="FirstParagraph"/>
      </w:pPr>
      <w:r>
        <w:t xml:space="preserve">The recent implementation of the Federal Law of Education has emphasized interdisciplinary learning and critical thinking over rote memorization. In</w:t>
      </w:r>
      <w:r>
        <w:t xml:space="preserve"> </w:t>
      </w:r>
      <w:hyperlink w:anchor="Xa39a3ee5e6b4b0d3255bfef95601890afd80709">
        <w:r>
          <w:rPr>
            <w:rStyle w:val="Hyperlink"/>
          </w:rPr>
          <w:t xml:space="preserve">Argentina Córdoba</w:t>
        </w:r>
      </w:hyperlink>
      <w:r>
        <w:t xml:space="preserve">, this shift has required a significant professional development effort for</w:t>
      </w:r>
    </w:p>
    <w:p>
      <w:pPr>
        <w:pStyle w:val="BodyText"/>
      </w:pPr>
      <w:r>
        <w:t xml:space="preserve">Teacher Secondary instructors.</w:t>
      </w:r>
    </w:p>
    <w:bookmarkStart w:id="24" w:name="project-based-learning-pbl"/>
    <w:p>
      <w:pPr>
        <w:pStyle w:val="Heading3"/>
      </w:pPr>
      <w:r>
        <w:t xml:space="preserve">3.1 Project-Based Learning (PBL)</w:t>
      </w:r>
    </w:p>
    <w:p>
      <w:pPr>
        <w:pStyle w:val="FirstParagraph"/>
      </w:pPr>
      <w:r>
        <w:t xml:space="preserve">Schools in the province have increasingly adopted Project-Based Learning methods. For example, biology classes might collaborate with environmental science projects focusing on the Punilla Valley’s ecosystem. This approach requires</w:t>
      </w:r>
      <w:r>
        <w:t xml:space="preserve"> </w:t>
      </w:r>
      <w:r>
        <w:rPr>
          <w:bCs/>
          <w:b/>
        </w:rPr>
        <w:t xml:space="preserve">Teacher Secondary professionals</w:t>
      </w:r>
    </w:p>
    <w:bookmarkEnd w:id="24"/>
    <w:bookmarkStart w:id="25" w:name="integration-of-humanities-and-steam"/>
    <w:p>
      <w:pPr>
        <w:pStyle w:val="Heading3"/>
      </w:pPr>
      <w:r>
        <w:t xml:space="preserve">3.2 Integration of Humanities and STEAM</w:t>
      </w:r>
    </w:p>
    <w:p>
      <w:pPr>
        <w:pStyle w:val="FirstParagraph"/>
      </w:pPr>
      <w:r>
        <w:t xml:space="preserve">Córdoba has a strong engineering tradition due to the presence of the National University of Córdoba (UNC). Leveraging this local asset, many secondary schools are integrating STEAM (Science, Technology, Engineering, Arts, and Mathematics) curricula.</w:t>
      </w:r>
      <w:r>
        <w:t xml:space="preserve"> </w:t>
      </w:r>
      <w:r>
        <w:rPr>
          <w:bCs/>
          <w:b/>
        </w:rPr>
        <w:t xml:space="preserve">Teacher Secondary</w:t>
      </w:r>
    </w:p>
    <w:bookmarkEnd w:id="25"/>
    <w:bookmarkEnd w:id="26"/>
    <w:bookmarkStart w:id="29" w:name="X5a46f209b1850a4d0bd5d69fd9728c4df5483fa"/>
    <w:p>
      <w:pPr>
        <w:pStyle w:val="Heading2"/>
      </w:pPr>
      <w:r>
        <w:t xml:space="preserve">4. Institutional Support and Professional Development</w:t>
      </w:r>
    </w:p>
    <w:p>
      <w:pPr>
        <w:pStyle w:val="FirstParagraph"/>
      </w:pPr>
      <w:r>
        <w:t xml:space="preserve">The sustainability of educational reforms depends on robust support systems for educators. In</w:t>
      </w:r>
      <w:r>
        <w:t xml:space="preserve"> </w:t>
      </w:r>
      <w:hyperlink w:anchor="Xa39a3ee5e6b4b0d3255bfef95601890afd80709">
        <w:r>
          <w:rPr>
            <w:rStyle w:val="Hyperlink"/>
          </w:rPr>
          <w:t xml:space="preserve">Argentina Córdoba</w:t>
        </w:r>
      </w:hyperlink>
      <w:r>
        <w:t xml:space="preserve">, various initiatives have been launched to support the</w:t>
      </w:r>
    </w:p>
    <w:p>
      <w:pPr>
        <w:pStyle w:val="BodyText"/>
      </w:pPr>
      <w:r>
        <w:t xml:space="preserve">Teacher Secondary workforce:</w:t>
      </w:r>
    </w:p>
    <w:bookmarkStart w:id="27" w:name="mentorship-programs"/>
    <w:p>
      <w:pPr>
        <w:pStyle w:val="Heading3"/>
      </w:pPr>
      <w:r>
        <w:t xml:space="preserve">4.1 Mentorship Programs</w:t>
      </w:r>
    </w:p>
    <w:p>
      <w:pPr>
        <w:pStyle w:val="FirstParagraph"/>
      </w:pPr>
      <w:r>
        <w:t xml:space="preserve">Newly certified teachers in the province are often paired with veteran educators through structured mentorship programs. These initiatives aim to reduce early-career attrition rates by providing emotional and pedagogical guidance. The success of these programs is evident in higher retention rates among</w:t>
      </w:r>
      <w:r>
        <w:t xml:space="preserve"> </w:t>
      </w:r>
      <w:r>
        <w:rPr>
          <w:bCs/>
          <w:b/>
        </w:rPr>
        <w:t xml:space="preserve">Teacher Secondary professionals</w:t>
      </w:r>
    </w:p>
    <w:bookmarkEnd w:id="27"/>
    <w:bookmarkStart w:id="28" w:name="continuous-training-modules"/>
    <w:p>
      <w:pPr>
        <w:pStyle w:val="Heading3"/>
      </w:pPr>
      <w:r>
        <w:t xml:space="preserve">4.2 Continuous Training Modules</w:t>
      </w:r>
    </w:p>
    <w:p>
      <w:pPr>
        <w:pStyle w:val="FirstParagraph"/>
      </w:pPr>
      <w:r>
        <w:t xml:space="preserve">The Provincial Ministry of Education offers continuous training modules focused on inclusive education and mental health awareness. Given the rise in adolescent anxiety and depression post-pandemic, these modules are critical. Teachers are trained to recognize signs of distress and refer students to appropriate psychological services, acknowledging that mental well-being is a prerequisite for academic success.</w:t>
      </w:r>
    </w:p>
    <w:bookmarkEnd w:id="28"/>
    <w:bookmarkEnd w:id="29"/>
    <w:bookmarkStart w:id="30" w:name="Xa039f69a0106c184b4b17cdc36d222fa62f616a"/>
    <w:p>
      <w:pPr>
        <w:pStyle w:val="Heading2"/>
      </w:pPr>
      <w:r>
        <w:t xml:space="preserve">5. Case Example: A Rural School in Calamuchita</w:t>
      </w:r>
    </w:p>
    <w:p>
      <w:pPr>
        <w:pStyle w:val="FirstParagraph"/>
      </w:pPr>
      <w:r>
        <w:t xml:space="preserve">To illustrate these dynamics, consider a secondary school located in the Calamuchita Valley,</w:t>
      </w:r>
      <w:r>
        <w:t xml:space="preserve"> </w:t>
      </w:r>
      <w:hyperlink w:anchor="Xa39a3ee5e6b4b0d3255bfef95601890afd80709">
        <w:r>
          <w:rPr>
            <w:rStyle w:val="Hyperlink"/>
          </w:rPr>
          <w:t xml:space="preserve">Argentina Córdoba</w:t>
        </w:r>
      </w:hyperlink>
      <w:r>
        <w:t xml:space="preserve">. This institution serves a mix of seasonal agricultural workers’ children and permanent residents. The</w:t>
      </w:r>
    </w:p>
    <w:p>
      <w:pPr>
        <w:pStyle w:val="BodyText"/>
      </w:pPr>
      <w:r>
        <w:t xml:space="preserve">Teacher Secondary staff faced unique challenges due to seasonal migration patterns affecting student attendance.</w:t>
      </w:r>
    </w:p>
    <w:p>
      <w:pPr>
        <w:pStyle w:val="BodyText"/>
      </w:pPr>
      <w:r>
        <w:rPr>
          <w:bCs/>
          <w:b/>
        </w:rPr>
        <w:t xml:space="preserve">Solution Implemented:</w:t>
      </w:r>
      <w:r>
        <w:t xml:space="preserve"> </w:t>
      </w:r>
      <w:r>
        <w:t xml:space="preserve">The school administration collaborated with local NGOs and the provincial education department to create a flexible scheduling system. Teachers were trained in modular curriculum delivery, allowing students to complete units at their own pace when they returned from migratory periods. Furthermore, the school invested in portable digital devices, enabling</w:t>
      </w:r>
      <w:r>
        <w:t xml:space="preserve"> </w:t>
      </w:r>
      <w:r>
        <w:rPr>
          <w:bCs/>
          <w:b/>
        </w:rPr>
        <w:t xml:space="preserve">Teacher Secondary professionals</w:t>
      </w:r>
    </w:p>
    <w:p>
      <w:pPr>
        <w:pStyle w:val="BodyText"/>
      </w:pPr>
      <w:r>
        <w:rPr>
          <w:bCs/>
          <w:b/>
        </w:rPr>
        <w:t xml:space="preserve">Outcome:</w:t>
      </w:r>
      <w:r>
        <w:t xml:space="preserve"> </w:t>
      </w:r>
      <w:r>
        <w:t xml:space="preserve">Within two years, student retention rates increased by 15%, and standardized test scores showed marked improvement in literacy and mathematics. This case demonstrates that with targeted support, even resource-constrained settings can achieve positive educational outcomes through innovative teaching practices.</w:t>
      </w:r>
    </w:p>
    <w:bookmarkEnd w:id="30"/>
    <w:bookmarkStart w:id="31" w:name="recommendations-for-future-policy"/>
    <w:p>
      <w:pPr>
        <w:pStyle w:val="Heading2"/>
      </w:pPr>
      <w:r>
        <w:t xml:space="preserve">6. Recommendations for Future Policy</w:t>
      </w:r>
    </w:p>
    <w:p>
      <w:pPr>
        <w:pStyle w:val="FirstParagraph"/>
      </w:pPr>
      <w:r>
        <w:t xml:space="preserve">Based on the analysis of the current landscape in</w:t>
      </w:r>
      <w:r>
        <w:t xml:space="preserve"> </w:t>
      </w:r>
      <w:hyperlink w:anchor="Xa39a3ee5e6b4b0d3255bfef95601890afd80709">
        <w:r>
          <w:rPr>
            <w:rStyle w:val="Hyperlink"/>
          </w:rPr>
          <w:t xml:space="preserve">Argentina Córdoba</w:t>
        </w:r>
      </w:hyperlink>
      <w:r>
        <w:t xml:space="preserve">, several recommendations are proposed to enhance the effectiveness of</w:t>
      </w:r>
    </w:p>
    <w:p>
      <w:pPr>
        <w:pStyle w:val="BodyText"/>
      </w:pPr>
      <w:r>
        <w:t xml:space="preserve">Teacher Secondary professionals:</w:t>
      </w:r>
    </w:p>
    <w:p>
      <w:pPr>
        <w:numPr>
          <w:ilvl w:val="0"/>
          <w:numId w:val="1001"/>
        </w:numPr>
        <w:pStyle w:val="Compact"/>
      </w:pPr>
      <w:r>
        <w:rPr>
          <w:bCs/>
          <w:b/>
        </w:rPr>
        <w:t xml:space="preserve">Awareness and Funding:</w:t>
      </w:r>
      <w:r>
        <w:t xml:space="preserve"> </w:t>
      </w:r>
      <w:r>
        <w:t xml:space="preserve">Increase funding for rural schools to ensure equal access to technology, reducing the digital divide that burdens teachers.</w:t>
      </w:r>
    </w:p>
    <w:p>
      <w:pPr>
        <w:numPr>
          <w:ilvl w:val="0"/>
          <w:numId w:val="1001"/>
        </w:numPr>
        <w:pStyle w:val="Compact"/>
      </w:pPr>
      <w:r>
        <w:rPr>
          <w:bCs/>
          <w:b/>
        </w:rPr>
        <w:t xml:space="preserve">Mental Health Support for Teachers:</w:t>
      </w:r>
      <w:r>
        <w:t xml:space="preserve"> </w:t>
      </w:r>
      <w:r>
        <w:t xml:space="preserve">Establish dedicated counseling services for educators to prevent burnout and support their mental well-being.</w:t>
      </w:r>
    </w:p>
    <w:p>
      <w:pPr>
        <w:numPr>
          <w:ilvl w:val="0"/>
          <w:numId w:val="1001"/>
        </w:numPr>
        <w:pStyle w:val="Compact"/>
      </w:pPr>
      <w:r>
        <w:rPr>
          <w:bCs/>
          <w:b/>
        </w:rPr>
        <w:t xml:space="preserve">Community Engagement:</w:t>
      </w:r>
      <w:r>
        <w:t xml:space="preserve"> </w:t>
      </w:r>
      <w:r>
        <w:t xml:space="preserve">Strengthen partnerships between schools, families, and local businesses in Córdoba to create a supportive ecosystem around students.</w:t>
      </w:r>
    </w:p>
    <w:p>
      <w:pPr>
        <w:numPr>
          <w:ilvl w:val="0"/>
          <w:numId w:val="1001"/>
        </w:numPr>
        <w:pStyle w:val="Compact"/>
      </w:pPr>
      <w:r>
        <w:rPr>
          <w:bCs/>
          <w:b/>
        </w:rPr>
        <w:t xml:space="preserve">Culturally Responsive Pedagogy:</w:t>
      </w:r>
      <w:r>
        <w:t xml:space="preserve"> </w:t>
      </w:r>
      <w:r>
        <w:t xml:space="preserve">Continue professional development focused on adapting teaching methods to the diverse cultural backgrounds present in the province’s classrooms.</w:t>
      </w:r>
    </w:p>
    <w:bookmarkEnd w:id="31"/>
    <w:bookmarkStart w:id="32" w:name="conclusion"/>
    <w:p>
      <w:pPr>
        <w:pStyle w:val="Heading2"/>
      </w:pPr>
      <w:r>
        <w:t xml:space="preserve">7. Conclusion</w:t>
      </w:r>
    </w:p>
    <w:p>
      <w:pPr>
        <w:pStyle w:val="FirstParagraph"/>
      </w:pPr>
      <w:r>
        <w:t xml:space="preserve">The trajectory of secondary education in</w:t>
      </w:r>
    </w:p>
    <w:p>
      <w:pPr>
        <w:pStyle w:val="BodyText"/>
      </w:pPr>
      <w:r>
        <w:t xml:space="preserve">Argentina Córdoba is defined by resilience, innovation, and a deep commitment to social equity. The</w:t>
      </w:r>
    </w:p>
    <w:p>
      <w:pPr>
        <w:pStyle w:val="BodyText"/>
      </w:pPr>
      <w:r>
        <w:t xml:space="preserve">Teacher Secondary professional remains the cornerstone of this transformation. By addressing technological gaps, fostering interdisciplinary learning, and providing robust support systems for both students and educators, the province can continue to model effective secondary education practices. This case study highlights that while challenges persist, the collaborative efforts of teachers, administrators in Córdoba are laying a strong foundation for future generations.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2026-07-29T14:42:39Z</dcterms:created>
  <dcterms:modified xsi:type="dcterms:W3CDTF">2026-07-29T14:42:39Z</dcterms:modified>
</cp:coreProperties>
</file>

<file path=docProps/custom.xml><?xml version="1.0" encoding="utf-8"?>
<Properties xmlns="http://schemas.openxmlformats.org/officeDocument/2006/custom-properties" xmlns:vt="http://schemas.openxmlformats.org/officeDocument/2006/docPropsVTypes"/>
</file>