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</w:t>
      </w:r>
      <w:r>
        <w:t xml:space="preserve"> </w:t>
      </w:r>
      <w:r>
        <w:t xml:space="preserve">Recruitment</w:t>
      </w:r>
      <w:r>
        <w:t xml:space="preserve"> </w:t>
      </w:r>
      <w:r>
        <w:t xml:space="preserve">and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3" w:name="X6b062fbcc726be968773c80f7b90730699b2a12"/>
    <w:p>
      <w:pPr>
        <w:pStyle w:val="Heading1"/>
      </w:pPr>
      <w:r>
        <w:t xml:space="preserve">Case Study: Navigating the Secondary Teacher Landscape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br/>
      </w:r>
      <w:r>
        <w:t xml:space="preserve">Australia Brisbane Educational Sector Analysis</w:t>
      </w:r>
      <w:r>
        <w:br/>
      </w:r>
    </w:p>
    <w:bookmarkStart w:id="22" w:name="introduction"/>
    <w:p>
      <w:pPr>
        <w:pStyle w:val="BodyText"/>
      </w:pPr>
      <w:r>
        <w:t xml:space="preserve">In the contemporary educational landscape of Australia, the demand for qualified secondary educators has reached a critical juncture. This case study focuses specifically on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 region that has emerged as a major hub for both economic growth and academic excellence. As one of the fastest-growing metropolitan areas in Southeast Queensland,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presents unique challenges and opportunities for school administrators, policy makers, and human resource specialists tasked with recruiting and retaining secondary teachers.</w:t>
      </w:r>
    </w:p>
    <w:p>
      <w:pPr>
        <w:pStyle w:val="BodyText"/>
      </w:pPr>
      <w:r>
        <w:t xml:space="preserve">The primary objective of this study is to analyze the recruitment strategies, retention issues, and cultural integration processes required to maintain high-quality education standards. By examining the specific context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we can identify best practices for attracting top-tier talent in a competitive market where teacher shortages are increasingly prevalent across various subjects such as mathematics, science, and English.</w:t>
      </w:r>
    </w:p>
    <w:bookmarkStart w:id="20" w:name="Xdadc7ea465f059f4f4ed1d79f36e38774e601eb"/>
    <w:p>
      <w:pPr>
        <w:pStyle w:val="Heading2"/>
      </w:pPr>
      <w:r>
        <w:t xml:space="preserve">Background and Context of Australia Brisbane</w:t>
      </w:r>
    </w:p>
    <w:p>
      <w:pPr>
        <w:pStyle w:val="FirstParagraph"/>
      </w:pPr>
      <w:r>
        <w:rPr>
          <w:bCs/>
          <w:b/>
        </w:rPr>
        <w:t xml:space="preserve">Australia Brisbane</w:t>
      </w:r>
      <w:r>
        <w:t xml:space="preserve">, the capital city of Queensland, is characterized by a diverse demographic profile and a robust economy. The region has experienced significant population growth due to interstate migration from other parts of</w:t>
      </w:r>
      <w:r>
        <w:t xml:space="preserve"> </w:t>
      </w:r>
      <w:r>
        <w:rPr>
          <w:bCs/>
          <w:b/>
        </w:rPr>
        <w:t xml:space="preserve">Australia</w:t>
      </w:r>
      <w:r>
        <w:t xml:space="preserve"> </w:t>
      </w:r>
      <w:r>
        <w:t xml:space="preserve">and international relocation. This influx has necessitated an expansion in secondary schooling infrastructure, leading to increased pressure on existing staff resources.</w:t>
      </w:r>
    </w:p>
    <w:p>
      <w:pPr>
        <w:pStyle w:val="BodyText"/>
      </w:pPr>
      <w:r>
        <w:t xml:space="preserve">The educational ecosystem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is unique. It encompasses government, Catholic, and independent schools operating under the framework of both the Australian Curriculum and state-specific guidelines from the Queensland Department of Education. The climate is subtropical, which influences school schedules, extracurricular activities, and even staff wellbeing initiatives. Furthermore,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has a strong emphasis on outdoor education and environmental stewardship in its curriculum.</w:t>
      </w:r>
    </w:p>
    <w:bookmarkEnd w:id="20"/>
    <w:bookmarkStart w:id="21" w:name="X058a5e2a626fd7b59533e3ec9f5b7f636656abb"/>
    <w:p>
      <w:pPr>
        <w:pStyle w:val="Heading2"/>
      </w:pPr>
      <w:r>
        <w:t xml:space="preserve">The Challenge: Secondary Teacher Shortages</w:t>
      </w:r>
    </w:p>
    <w:p>
      <w:pPr>
        <w:pStyle w:val="FirstParagraph"/>
      </w:pPr>
      <w:r>
        <w:t xml:space="preserve">The core issue addressed in this case study is the shortage of qualified</w:t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Secondary Teacher Recruitment and Integration in Australia Brisbane</dc:title>
  <dc:creator/>
  <dc:language>en</dc:language>
  <cp:keywords/>
  <dcterms:created xsi:type="dcterms:W3CDTF">2026-07-29T12:19:18Z</dcterms:created>
  <dcterms:modified xsi:type="dcterms:W3CDTF">2026-07-29T12:19:18Z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