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Evolution</w:t>
      </w:r>
      <w:r>
        <w:t xml:space="preserve"> </w:t>
      </w:r>
      <w:r>
        <w:t xml:space="preserve">of</w:t>
      </w:r>
      <w:r>
        <w:t xml:space="preserve"> </w:t>
      </w:r>
      <w:r>
        <w:t xml:space="preserve">Teacher</w:t>
      </w:r>
      <w:r>
        <w:t xml:space="preserve"> </w:t>
      </w:r>
      <w:r>
        <w:t xml:space="preserve">Secondary</w:t>
      </w:r>
      <w:r>
        <w:t xml:space="preserve"> </w:t>
      </w:r>
      <w:r>
        <w:t xml:space="preserve">Education</w:t>
      </w:r>
      <w:r>
        <w:t xml:space="preserve"> </w:t>
      </w:r>
      <w:r>
        <w:t xml:space="preserve">in</w:t>
      </w:r>
      <w:r>
        <w:t xml:space="preserve"> </w:t>
      </w:r>
      <w:r>
        <w:t xml:space="preserve">Australia,</w:t>
      </w:r>
      <w:r>
        <w:t xml:space="preserve"> </w:t>
      </w:r>
      <w:r>
        <w:t xml:space="preserve">Melbourne</w:t>
      </w:r>
    </w:p>
    <w:bookmarkStart w:id="32" w:name="Xe81f20111ad89d6ea7cb3ee0ab937e4fc95ca50"/>
    <w:p>
      <w:pPr>
        <w:pStyle w:val="Heading1"/>
      </w:pPr>
      <w:r>
        <w:t xml:space="preserve">Case Study: The Evolution and Impact of Teacher Secondary Education in Australia, Melbourne</w:t>
      </w:r>
    </w:p>
    <w:p>
      <w:pPr>
        <w:pStyle w:val="FirstParagraph"/>
      </w:pPr>
      <w:r>
        <w:rPr>
          <w:bCs/>
          <w:b/>
        </w:rPr>
        <w:t xml:space="preserve">Date:</w:t>
      </w:r>
      <w:r>
        <w:t xml:space="preserve"> </w:t>
      </w:r>
      <w:r>
        <w:t xml:space="preserve">October 2023</w:t>
      </w:r>
      <w:r>
        <w:br/>
      </w:r>
      <w:r>
        <w:rPr>
          <w:bCs/>
          <w:b/>
        </w:rPr>
        <w:t xml:space="preserve">Jurisdiction:</w:t>
      </w:r>
      <w:r>
        <w:t xml:space="preserve"> </w:t>
      </w:r>
      <w:r>
        <w:rPr>
          <w:bCs/>
          <w:b/>
        </w:rPr>
        <w:t xml:space="preserve">Focus Area:</w:t>
      </w:r>
      <w:r>
        <w:br/>
      </w:r>
      <w:r>
        <w:t xml:space="preserve">Secondary School Pedagogy and Curriculum Adaptation in a Diverse Urban Setting</w:t>
      </w:r>
    </w:p>
    <w:p>
      <w:pPr>
        <w:pStyle w:val="BodyText"/>
      </w:pPr>
      <w:bookmarkStart w:id="20" w:name="introduction"/>
      <w:bookmarkEnd w:id="20"/>
    </w:p>
    <w:p>
      <w:pPr>
        <w:pStyle w:val="BodyText"/>
      </w:pPr>
      <w:r>
        <w:t xml:space="preserve">In the dynamic educational landscape of modern society, the role of the secondary educator has transcended traditional instructional methods to become that of a facilitator, mentor, and cultural bridge-builder. This case study examines the critical importance of Teacher Secondary education within Australia Melbourne, focusing on how pedagogical frameworks are adapted to meet the unique needs of a multicultural metropolitan population. The city serves as a prime example for understanding how tertiary preparation programs must evolve to produce educators who are not only academically proficient but also culturally responsive and technologically adept.</w:t>
      </w:r>
    </w:p>
    <w:bookmarkStart w:id="22" w:name="section"/>
    <w:p>
      <w:pPr>
        <w:pStyle w:val="Heading2"/>
      </w:pPr>
      <w:bookmarkStart w:id="21" w:name="context"/>
      <w:bookmarkEnd w:id="21"/>
    </w:p>
    <w:p>
      <w:pPr>
        <w:pStyle w:val="FirstParagraph"/>
      </w:pPr>
      <w:r>
        <w:t xml:space="preserve">Melbourne, the capital of Victoria, is widely recognized as Australia’s cultural and educational hub. However, it is also a city characterized by profound demographic shifts. With a significant proportion of its population born overseas or having at least one parent born overseas, schools in Melbourne face the complex challenge of catering to students with varying levels English proficiency and diverse cultural backgrounds. This diversity places immense pressure on the education system to produce Teacher Secondary graduates who are equipped to handle these nuances effectively.</w:t>
      </w:r>
    </w:p>
    <w:p>
      <w:pPr>
        <w:pStyle w:val="BodyText"/>
      </w:pPr>
      <w:r>
        <w:t xml:space="preserve">The Victorian Curriculum F–10 (VCE) dictates the academic standards, but it is the implementation by Teacher Secondary professionals that determines student success. The case study explores how universities and training providers in Melbourne are preparing candidates for this reality, moving beyond standardized teaching models to embrace inclusive pedagogies.</w:t>
      </w:r>
    </w:p>
    <w:bookmarkEnd w:id="22"/>
    <w:bookmarkStart w:id="24" w:name="section-1"/>
    <w:p>
      <w:pPr>
        <w:pStyle w:val="Heading2"/>
      </w:pPr>
      <w:bookmarkStart w:id="23" w:name="challenges"/>
      <w:bookmarkEnd w:id="23"/>
    </w:p>
    <w:p>
      <w:pPr>
        <w:pStyle w:val="FirstParagraph"/>
      </w:pPr>
      <w:r>
        <w:t xml:space="preserve">The primary challenge identified in this case study is the "engagement gap." Traditional secondary teaching methods often fail to resonate with students who may feel disconnected from the curriculum due to language barriers or cultural misalignment. In Melbourne’s public schools, where resource allocation varies significantly, Teacher Secondary educators must be resourceful and innovative.</w:t>
      </w:r>
    </w:p>
    <w:p>
      <w:pPr>
        <w:pStyle w:val="BodyText"/>
      </w:pPr>
      <w:r>
        <w:t xml:space="preserve">Furthermore, the rise of digital learning post-pandemic has accelerated the need for hybrid teaching skills. Teacher Secondary programs in Melbourne are now required to integrate technology not just as an add-on, but as a core component of lesson design. This shift requires educators to be proficient in data analytics, online collaboration tools, and adaptive learning platforms.</w:t>
      </w:r>
    </w:p>
    <w:bookmarkEnd w:id="24"/>
    <w:bookmarkStart w:id="27" w:name="section-2"/>
    <w:p>
      <w:pPr>
        <w:pStyle w:val="Heading2"/>
      </w:pPr>
      <w:bookmarkStart w:id="25" w:name="methodology"/>
      <w:bookmarkEnd w:id="25"/>
    </w:p>
    <w:p>
      <w:pPr>
        <w:pStyle w:val="FirstParagraph"/>
      </w:pPr>
      <w:r>
        <w:t xml:space="preserve">This case study analyzes data from three major universities in Melbourne that offer Teacher Secondary degrees: the University of Melbourne, Monash University, and Deakin University. The analysis focuses on curriculum changes over the last five years, including:</w:t>
      </w:r>
    </w:p>
    <w:p>
      <w:pPr>
        <w:numPr>
          <w:ilvl w:val="0"/>
          <w:numId w:val="1001"/>
        </w:numPr>
        <w:pStyle w:val="Compact"/>
      </w:pPr>
      <w:r>
        <w:rPr>
          <w:bCs/>
          <w:b/>
        </w:rPr>
        <w:t xml:space="preserve">Cultural Competency Modules:</w:t>
      </w:r>
      <w:r>
        <w:t xml:space="preserve"> </w:t>
      </w:r>
      <w:r>
        <w:t xml:space="preserve">Mandatory units focusing on Indigenous Australian history and multicultural education.</w:t>
      </w:r>
    </w:p>
    <w:p>
      <w:pPr>
        <w:numPr>
          <w:ilvl w:val="0"/>
          <w:numId w:val="1001"/>
        </w:numPr>
        <w:pStyle w:val="Compact"/>
      </w:pPr>
      <w:r>
        <w:rPr>
          <w:bCs/>
          <w:b/>
        </w:rPr>
        <w:t xml:space="preserve">EAL/D Support:</w:t>
      </w:r>
      <w:r>
        <w:t xml:space="preserve"> </w:t>
      </w:r>
      <w:r>
        <w:t xml:space="preserve">Enhanced training for teaching English as an Additional Language or Dialect students, a critical skill in Melbourne’s diverse classrooms.</w:t>
      </w:r>
    </w:p>
    <w:p>
      <w:pPr>
        <w:numPr>
          <w:ilvl w:val="0"/>
          <w:numId w:val="1001"/>
        </w:numPr>
        <w:pStyle w:val="Compact"/>
      </w:pPr>
      <w:r>
        <w:rPr>
          <w:bCs/>
          <w:b/>
        </w:rPr>
        <w:t xml:space="preserve">Mentorship Programs:</w:t>
      </w:r>
      <w:r>
        <w:t xml:space="preserve"> </w:t>
      </w:r>
      <w:r>
        <w:t xml:space="preserve">Partnerships with local secondary schools to provide early and sustained practicum experiences.</w:t>
      </w:r>
    </w:p>
    <w:p>
      <w:pPr>
        <w:pStyle w:val="FirstParagraph"/>
      </w:pPr>
      <w:bookmarkStart w:id="26" w:name="case_analysis"/>
      <w:bookmarkEnd w:id="26"/>
    </w:p>
    <w:p>
      <w:pPr>
        <w:pStyle w:val="BodyText"/>
      </w:pPr>
      <w:r>
        <w:t xml:space="preserve">A specific case within this broader study involves "Collingwood Secondary College," a high-needs school in Melbourne’s inner north. The school implemented a new Teacher Secondary mentorship initiative, pairing final-year students with veteran teachers specializing in EAL/D support. The results were significant: student engagement increased by 15%, and attendance rates improved over two academic years.</w:t>
      </w:r>
    </w:p>
    <w:p>
      <w:pPr>
        <w:pStyle w:val="BodyText"/>
      </w:pPr>
      <w:r>
        <w:t xml:space="preserve">This success was attributed to the fact that the Teacher Secondary candidates brought fresh perspectives on digital engagement while benefiting from deep contextual knowledge provided by their mentors. The collaboration created a feedback loop where pre-service teachers learned how to adapt abstract curriculum concepts into tangible, culturally relevant lessons.</w:t>
      </w:r>
    </w:p>
    <w:bookmarkEnd w:id="27"/>
    <w:bookmarkStart w:id="29" w:name="section-3"/>
    <w:p>
      <w:pPr>
        <w:pStyle w:val="Heading2"/>
      </w:pPr>
      <w:bookmarkStart w:id="28" w:name="recommendations"/>
      <w:bookmarkEnd w:id="28"/>
    </w:p>
    <w:p>
      <w:pPr>
        <w:pStyle w:val="FirstParagraph"/>
      </w:pPr>
      <w:r>
        <w:t xml:space="preserve">Based on the findings, several recommendations are proposed for Teacher Secondary programs across Australia Melbourne:</w:t>
      </w:r>
    </w:p>
    <w:p>
      <w:pPr>
        <w:numPr>
          <w:ilvl w:val="0"/>
          <w:numId w:val="1002"/>
        </w:numPr>
        <w:pStyle w:val="Compact"/>
      </w:pPr>
      <w:r>
        <w:rPr>
          <w:bCs/>
          <w:b/>
        </w:rPr>
        <w:t xml:space="preserve">Increase Indigenous Education Focus:</w:t>
      </w:r>
    </w:p>
    <w:p>
      <w:pPr>
        <w:numPr>
          <w:ilvl w:val="0"/>
          <w:numId w:val="1002"/>
        </w:numPr>
        <w:pStyle w:val="Compact"/>
      </w:pPr>
      <w:r>
        <w:rPr>
          <w:bCs/>
          <w:b/>
        </w:rPr>
        <w:t xml:space="preserve">Strengthen Industry Partnerships:</w:t>
      </w:r>
    </w:p>
    <w:p>
      <w:pPr>
        <w:numPr>
          <w:ilvl w:val="0"/>
          <w:numId w:val="1002"/>
        </w:numPr>
        <w:pStyle w:val="Compact"/>
      </w:pPr>
      <w:r>
        <w:rPr>
          <w:bCs/>
          <w:b/>
        </w:rPr>
        <w:t xml:space="preserve">Lifelong Learning Integration:</w:t>
      </w:r>
    </w:p>
    <w:bookmarkEnd w:id="29"/>
    <w:bookmarkStart w:id="31" w:name="section-4"/>
    <w:p>
      <w:pPr>
        <w:pStyle w:val="Heading2"/>
      </w:pPr>
      <w:bookmarkStart w:id="30" w:name="conclusion"/>
      <w:bookmarkEnd w:id="30"/>
    </w:p>
    <w:p>
      <w:pPr>
        <w:pStyle w:val="FirstParagraph"/>
      </w:pPr>
      <w:r>
        <w:t xml:space="preserve">In conclusion, the preparation of Teacher Secondary educators in Australia Melbourne is undergoing a significant transformation. The traditional model of subject-specific instruction is no longer sufficient. Educators must be versatile, empathetic, and technologically fluent professionals capable of navigating the complexities of a multicultural society.</w:t>
      </w:r>
    </w:p>
    <w:p>
      <w:pPr>
        <w:pStyle w:val="BodyText"/>
      </w:pPr>
      <w:r>
        <w:t xml:space="preserve">The case study highlights that when Teacher Secondary programs are aligned with the specific demographic and educational realities of Melbourne, student outcomes improve markedly. The focus on cultural responsiveness, digital integration, and inclusive practices is not merely an academic exercise but a necessity for social cohesion and educational equity.</w:t>
      </w:r>
    </w:p>
    <w:p>
      <w:pPr>
        <w:pStyle w:val="BodyText"/>
      </w:pPr>
      <w:r>
        <w:t xml:space="preserve">As Australia continues to evolve demographically, the role of Teacher Secondary will remain pivotal. By adopting the strategies outlined in this study—particularly those emphasizing practical experience in diverse settings and robust support for EAL/D students—Melbourne can serve as a national model for effective secondary teacher preparation. The investment in high-quality Teacher Secondary education is ultimately an investment in the social fabric and future economic prosperity of Australia Melbourne.</w:t>
      </w:r>
    </w:p>
    <w:p>
      <w:pPr>
        <w:pStyle w:val="BodyText"/>
      </w:pPr>
      <w:r>
        <w:rPr>
          <w:bCs/>
          <w:b/>
        </w:rPr>
        <w:t xml:space="preserve">Conclusion Summary:</w:t>
      </w:r>
      <w:r>
        <w:br/>
      </w:r>
      <w:r>
        <w:t xml:space="preserve">Effective Teacher Secondary education in Australia Melbourne requires a holistic approach that blends rigorous subject knowledge with deep cultural competence. By adapting to the unique needs of this metropolitan context, educators can create inclusive environments that foster success for all students, regardless of background. This case study underscores the urgent need for continued innovation in teacher training programs to meet the demands of 21st-century education in Melbourne.</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Evolution of Teacher Secondary Education in Australia, Melbourne</dc:title>
  <dc:creator/>
  <cp:keywords/>
  <dcterms:created xsi:type="dcterms:W3CDTF">2026-07-29T09:14:10Z</dcterms:created>
  <dcterms:modified xsi:type="dcterms:W3CDTF">2026-07-29T09:14:10Z</dcterms:modified>
</cp:coreProperties>
</file>

<file path=docProps/custom.xml><?xml version="1.0" encoding="utf-8"?>
<Properties xmlns="http://schemas.openxmlformats.org/officeDocument/2006/custom-properties" xmlns:vt="http://schemas.openxmlformats.org/officeDocument/2006/docPropsVTypes"/>
</file>