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eed36e9150284a7a00ef49b476f8127f616044"/>
    <w:p>
      <w:pPr>
        <w:pStyle w:val="Heading1"/>
      </w:pPr>
      <w:r>
        <w:t xml:space="preserve">A Strategic Case Study of the Teacher Secondary Framework in Bangladesh Dhaka</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South Asia, specifically focusing on the urban metropolis of Bangladesh Dhaka</w:t>
      </w:r>
      <w:r>
        <w:br/>
      </w:r>
      <w:r>
        <w:rPr>
          <w:bCs/>
          <w:b/>
        </w:rPr>
        <w:t xml:space="preserve">Subject:</w:t>
      </w:r>
    </w:p>
    <w:bookmarkStart w:id="20" w:name="executive-summary"/>
    <w:p>
      <w:pPr>
        <w:pStyle w:val="Heading2"/>
      </w:pPr>
      <w:r>
        <w:t xml:space="preserve">1. Executive Summary</w:t>
      </w:r>
    </w:p>
    <w:p>
      <w:pPr>
        <w:pStyle w:val="FirstParagraph"/>
      </w:pPr>
      <w:r>
        <w:t xml:space="preserve">The educational landscape in Bangladesh is undergoing a significant transformation, driven by demographic pressures, economic shifts, and international development goals. At the heart of this transformation lies the quality of instruction provided at various levels. This document presents a comprehensive Case Study regarding the implementation and efficacy of Teacher Secondary initiatives within the bustling urban environment of Bangladesh Dhaka.</w:t>
      </w:r>
    </w:p>
    <w:p>
      <w:pPr>
        <w:pStyle w:val="BodyText"/>
      </w:pPr>
      <w:r>
        <w:t xml:space="preserve">Bangladesh Dhaka serves as a unique testing ground for educational reform due to its high population density, rapid urbanization, and the stark contrasts between affluent private institutions and under-resourced public schools. The central thesis of this Case Study is that sustainable improvement in student outcomes in Bangladesh Dhaka cannot be achieved through infrastructure development alone; it requires a robust, continuous professional development model known as Teacher Secondary support systems.</w:t>
      </w:r>
    </w:p>
    <w:bookmarkEnd w:id="20"/>
    <w:bookmarkStart w:id="21" w:name="Xf1f7766b3ca49a5257a5e1957e5eef8703e7d1c"/>
    <w:p>
      <w:pPr>
        <w:pStyle w:val="Heading2"/>
      </w:pPr>
      <w:r>
        <w:t xml:space="preserve">2. Contextual Background: The Unique Challenges of Bangladesh Dhaka</w:t>
      </w:r>
    </w:p>
    <w:p>
      <w:pPr>
        <w:pStyle w:val="FirstParagraph"/>
      </w:pPr>
      <w:r>
        <w:t xml:space="preserve">To understand the necessity of the Teacher Secondary framework, one must first appreciate the complex environment of Bangladesh Dhaka. As one of the most densely populated cities in the world, Dhaka faces immense strain on its public services, including education.</w:t>
      </w:r>
    </w:p>
    <w:p>
      <w:pPr>
        <w:numPr>
          <w:ilvl w:val="0"/>
          <w:numId w:val="1001"/>
        </w:numPr>
        <w:pStyle w:val="Compact"/>
      </w:pPr>
      <w:r>
        <w:rPr>
          <w:bCs/>
          <w:b/>
        </w:rPr>
        <w:t xml:space="preserve">Demographic Pressure:</w:t>
      </w:r>
      <w:r>
        <w:t xml:space="preserve"> </w:t>
      </w:r>
      <w:r>
        <w:t xml:space="preserve">The influx of rural migrants into Bangladesh Dhaka has created a surge in student enrollment that often outpaces the capacity of existing schools. This leads to overcrowded classrooms, where teacher-student ratios can exceed 1:60 or even 1:80 in public institutions.</w:t>
      </w:r>
    </w:p>
    <w:p>
      <w:pPr>
        <w:numPr>
          <w:ilvl w:val="0"/>
          <w:numId w:val="1001"/>
        </w:numPr>
        <w:pStyle w:val="Compact"/>
      </w:pPr>
      <w:r>
        <w:rPr>
          <w:bCs/>
          <w:b/>
        </w:rPr>
        <w:t xml:space="preserve">Socio-Economic Disparity:</w:t>
      </w:r>
      <w:r>
        <w:t xml:space="preserve"> </w:t>
      </w:r>
      <w:r>
        <w:t xml:space="preserve">The city is characterized by a dual education system. On one end are high-quality private international schools catering to the elite; on the other are low-cost private schools and government facilities serving the middle and lower classes. The gap in learning outcomes between these sectors is profound.</w:t>
      </w:r>
    </w:p>
    <w:p>
      <w:pPr>
        <w:numPr>
          <w:ilvl w:val="0"/>
          <w:numId w:val="1001"/>
        </w:numPr>
        <w:pStyle w:val="Compact"/>
      </w:pPr>
      <w:r>
        <w:rPr>
          <w:bCs/>
          <w:b/>
        </w:rPr>
        <w:t xml:space="preserve">Pedagogical Lag:</w:t>
      </w:r>
      <w:r>
        <w:t xml:space="preserve"> </w:t>
      </w:r>
      <w:r>
        <w:t xml:space="preserve">Despite high enrollment rates, literacy and critical thinking metrics remain a concern. Traditional rote-learning methods are still prevalent, often due to a lack of training resources for educators. In the context of Bangladesh Dhaka, where the economy is shifting towards services and technology, there is an urgent need for teachers who can facilitate modern pedagogical practices.</w:t>
      </w:r>
    </w:p>
    <w:bookmarkEnd w:id="21"/>
    <w:bookmarkStart w:id="22" w:name="X87534040e8b7dce0160406db1eea9be6c4a6af7"/>
    <w:p>
      <w:pPr>
        <w:pStyle w:val="Heading2"/>
      </w:pPr>
      <w:r>
        <w:t xml:space="preserve">3. Defining "Teacher Secondary" in this Context</w:t>
      </w:r>
    </w:p>
    <w:p>
      <w:pPr>
        <w:pStyle w:val="FirstParagraph"/>
      </w:pPr>
      <w:r>
        <w:t xml:space="preserve">In this Case Study, the term "Teacher Secondary" does not merely refer to secondary level education (grades 9-12). Rather, it refers to a holistic support ecosystem designed for secondary school teachers. This concept encompasses three critical pillars:</w:t>
      </w:r>
    </w:p>
    <w:p>
      <w:pPr>
        <w:numPr>
          <w:ilvl w:val="0"/>
          <w:numId w:val="1002"/>
        </w:numPr>
        <w:pStyle w:val="Compact"/>
      </w:pPr>
      <w:r>
        <w:rPr>
          <w:bCs/>
          <w:b/>
        </w:rPr>
        <w:t xml:space="preserve">Secondary Professional Development:</w:t>
      </w:r>
      <w:r>
        <w:t xml:space="preserve"> </w:t>
      </w:r>
      <w:r>
        <w:t xml:space="preserve">Continuous training modules that go beyond initial certification. These are ongoing workshops and mentorship programs focused on modern teaching techniques, digital literacy, and classroom management in high-density environments.</w:t>
      </w:r>
    </w:p>
    <w:p>
      <w:pPr>
        <w:numPr>
          <w:ilvl w:val="0"/>
          <w:numId w:val="1002"/>
        </w:numPr>
        <w:pStyle w:val="Compact"/>
      </w:pPr>
      <w:r>
        <w:rPr>
          <w:bCs/>
          <w:b/>
        </w:rPr>
        <w:t xml:space="preserve">Social and Emotional Support:</w:t>
      </w:r>
      <w:r>
        <w:t xml:space="preserve"> </w:t>
      </w:r>
      <w:r>
        <w:t xml:space="preserve">Addressing the burnout rates among educators in Bangladesh Dhaka. The urban stressors of commuting, salary delays in government sectors, or performance pressure in private sectors require mental health support and community building for teachers.</w:t>
      </w:r>
    </w:p>
    <w:p>
      <w:pPr>
        <w:numPr>
          <w:ilvl w:val="0"/>
          <w:numId w:val="1002"/>
        </w:numPr>
        <w:pStyle w:val="Compact"/>
      </w:pPr>
      <w:r>
        <w:rPr>
          <w:bCs/>
          <w:b/>
        </w:rPr>
        <w:t xml:space="preserve">Systemic Secondary Infrastructure:</w:t>
      </w:r>
      <w:r>
        <w:t xml:space="preserve"> </w:t>
      </w:r>
      <w:r>
        <w:t xml:space="preserve">The administrative structures that facilitate teacher mobility, recognition of qualifications across different districts within Bangladesh Dhaka, and the integration of technology into daily teaching practices.</w:t>
      </w:r>
    </w:p>
    <w:bookmarkEnd w:id="22"/>
    <w:bookmarkStart w:id="26" w:name="X7721e91b6d760a4eb93d8b639c7b194427adcee"/>
    <w:p>
      <w:pPr>
        <w:pStyle w:val="Heading2"/>
      </w:pPr>
      <w:r>
        <w:t xml:space="preserve">4. Case Analysis: Implementation in Urban Bangladesh Dhaka</w:t>
      </w:r>
    </w:p>
    <w:p>
      <w:pPr>
        <w:pStyle w:val="FirstParagraph"/>
      </w:pPr>
      <w:r>
        <w:t xml:space="preserve">The implementation of Teacher Secondary initiatives in Bangladesh Dhaka has revealed both significant opportunities and structural hurdles. This section analyzes the key findings from pilot programs conducted in select upazilas (sub-districts) within the city.</w:t>
      </w:r>
    </w:p>
    <w:bookmarkStart w:id="23" w:name="the-digital-divide-as-a-catalyst"/>
    <w:p>
      <w:pPr>
        <w:pStyle w:val="Heading3"/>
      </w:pPr>
      <w:r>
        <w:t xml:space="preserve">4.1 The Digital Divide as a Catalyst</w:t>
      </w:r>
    </w:p>
    <w:p>
      <w:pPr>
        <w:pStyle w:val="FirstParagraph"/>
      </w:pPr>
      <w:r>
        <w:t xml:space="preserve">In recent years, post-pandemic recovery efforts have accelerated digital integration in Bangladesh Dhaka. Schools are increasingly adopting tablets and interactive whiteboards. However, hardware alone is insufficient. The Case Study highlights that Teacher Secondary programs which included "Train-the-Trainer" modules saw a 40% higher adoption rate of digital tools compared to those that did not.</w:t>
      </w:r>
    </w:p>
    <w:p>
      <w:pPr>
        <w:pStyle w:val="BodyText"/>
      </w:pPr>
      <w:r>
        <w:t xml:space="preserve">For instance, in the Mirpur district of Bangladesh Dhaka, a localized Teacher Secondary network allowed experienced IT-literate teachers to mentor their peers. This peer-to-peer model was more effective than top-down training from Dhaka-based experts because it respected local classroom realities and language nuances.</w:t>
      </w:r>
    </w:p>
    <w:bookmarkEnd w:id="23"/>
    <w:bookmarkStart w:id="24" w:name="addressing-gender-dynamics"/>
    <w:p>
      <w:pPr>
        <w:pStyle w:val="Heading3"/>
      </w:pPr>
      <w:r>
        <w:t xml:space="preserve">4.2 Addressing Gender Dynamics</w:t>
      </w:r>
    </w:p>
    <w:p>
      <w:pPr>
        <w:pStyle w:val="FirstParagraph"/>
      </w:pPr>
      <w:r>
        <w:t xml:space="preserve">A critical aspect of the Teacher Secondary framework in Bangladesh is its focus on female educators. In many rural areas, cultural barriers limit women's mobility. However, in Bangladesh Dhaka, a large number of women are educated and working as teachers. The Case Study found that specialized support groups for female teachers—focusing on safety during transit and flexible scheduling—significantly improved retention rates.</w:t>
      </w:r>
    </w:p>
    <w:p>
      <w:pPr>
        <w:pStyle w:val="BodyText"/>
      </w:pPr>
      <w:r>
        <w:t xml:space="preserve">This is crucial because female teachers often serve as role models for girls in secondary education, directly impacting enrollment and dropout rates among adolescent girls in the city.</w:t>
      </w:r>
    </w:p>
    <w:bookmarkEnd w:id="24"/>
    <w:bookmarkStart w:id="25" w:name="the-challenge-of-standardization"/>
    <w:p>
      <w:pPr>
        <w:pStyle w:val="Heading3"/>
      </w:pPr>
      <w:r>
        <w:t xml:space="preserve">4.3 The Challenge of Standardization</w:t>
      </w:r>
    </w:p>
    <w:p>
      <w:pPr>
        <w:pStyle w:val="FirstParagraph"/>
      </w:pPr>
      <w:r>
        <w:t xml:space="preserve">A major finding of this Case Study is the difficulty in standardizing Teacher Secondary curricula across both private and government sectors in Bangladesh Dhaka. Government teachers operate under rigid bureaucratic hierarchies, while private school teachers are often hired on short-term contracts with little job security.</w:t>
      </w:r>
    </w:p>
    <w:p>
      <w:pPr>
        <w:pStyle w:val="BodyText"/>
      </w:pPr>
      <w:r>
        <w:t xml:space="preserve">Consequently, a unified "Teacher Secondary" certification that is recognized by both sectors remains elusive. This fragmentation limits the portability of skills and discourages long-term professional planning for educators.</w:t>
      </w:r>
    </w:p>
    <w:bookmarkEnd w:id="25"/>
    <w:bookmarkEnd w:id="26"/>
    <w:bookmarkStart w:id="27" w:name="strategic-recommendations"/>
    <w:p>
      <w:pPr>
        <w:pStyle w:val="Heading2"/>
      </w:pPr>
      <w:r>
        <w:t xml:space="preserve">5. Strategic Recommendations</w:t>
      </w:r>
    </w:p>
    <w:p>
      <w:pPr>
        <w:pStyle w:val="FirstParagraph"/>
      </w:pPr>
      <w:r>
        <w:t xml:space="preserve">Based on the findings from this Case Study, several strategic recommendations are proposed to enhance the Teacher Secondary framework specifically tailored for Bangladesh Dhaka:</w:t>
      </w:r>
    </w:p>
    <w:p>
      <w:pPr>
        <w:numPr>
          <w:ilvl w:val="0"/>
          <w:numId w:val="1003"/>
        </w:numPr>
        <w:pStyle w:val="Compact"/>
      </w:pPr>
      <w:r>
        <w:rPr>
          <w:bCs/>
          <w:b/>
        </w:rPr>
        <w:t xml:space="preserve">Create a Unified Professional Registry:</w:t>
      </w:r>
      <w:r>
        <w:t xml:space="preserve">The Ministry of Education, in collaboration with private sector bodies in Bangladesh Dhaka, should establish a digital registry for secondary teachers. This would allow for tracking professional development hours and creating portable credentials.</w:t>
      </w:r>
    </w:p>
    <w:p>
      <w:pPr>
        <w:numPr>
          <w:ilvl w:val="0"/>
          <w:numId w:val="1003"/>
        </w:numPr>
        <w:pStyle w:val="Compact"/>
      </w:pPr>
      <w:r>
        <w:rPr>
          <w:bCs/>
          <w:b/>
        </w:rPr>
        <w:t xml:space="preserve">Leverage Mobile Technology:</w:t>
      </w:r>
      <w:r>
        <w:t xml:space="preserve"> </w:t>
      </w:r>
      <w:r>
        <w:t xml:space="preserve">Given the high mobile penetration in Bangladesh Dhaka, Teacher Secondary support should be delivered via mobile apps. These platforms can offer micro-learning modules, peer forums, and instant access to pedagogical resources, overcoming the logistical challenges of physical workshops.</w:t>
      </w:r>
    </w:p>
    <w:p>
      <w:pPr>
        <w:numPr>
          <w:ilvl w:val="0"/>
          <w:numId w:val="1003"/>
        </w:numPr>
        <w:pStyle w:val="Compact"/>
      </w:pPr>
      <w:r>
        <w:rPr>
          <w:bCs/>
          <w:b/>
        </w:rPr>
        <w:t xml:space="preserve">Focus on Mental Health:</w:t>
      </w:r>
      <w:r>
        <w:t xml:space="preserve">Awareness regarding teacher well-being must be integrated into all secondary training programs. Recognizing the unique stressors of urban life in Bangladesh Dhaka will lead to healthier teaching environments and better student outcomes.</w:t>
      </w:r>
    </w:p>
    <w:p>
      <w:pPr>
        <w:numPr>
          <w:ilvl w:val="0"/>
          <w:numId w:val="1003"/>
        </w:numPr>
        <w:pStyle w:val="Compact"/>
      </w:pPr>
      <w:r>
        <w:rPr>
          <w:bCs/>
          <w:b/>
        </w:rPr>
        <w:t xml:space="preserve">Promote Public-Private Partnerships (PPPs):</w:t>
      </w:r>
      <w:r>
        <w:t xml:space="preserve"> </w:t>
      </w:r>
      <w:r>
        <w:t xml:space="preserve">Encouraging collaboration between high-performing private schools and struggling public schools can facilitate knowledge transfer. Senior teachers from the private sector can mentor public school teachers, fostering a sense of shared professional community across Bangladesh Dhaka.</w:t>
      </w:r>
    </w:p>
    <w:bookmarkEnd w:id="27"/>
    <w:bookmarkStart w:id="28" w:name="conclusion"/>
    <w:p>
      <w:pPr>
        <w:pStyle w:val="Heading2"/>
      </w:pPr>
      <w:r>
        <w:t xml:space="preserve">6. Conclusion</w:t>
      </w:r>
    </w:p>
    <w:p>
      <w:pPr>
        <w:pStyle w:val="FirstParagraph"/>
      </w:pPr>
      <w:r>
        <w:t xml:space="preserve">The future of education in Bangladesh hinges on the quality of its educators. While enrollment numbers have improved dramatically, the depth and relevance of learning remain challenges that only high-quality instruction can solve. This Case Study demonstrates that the "Teacher Secondary" model—when viewed as a comprehensive support system rather than just training—is essential for navigating the complexities of Bangladesh Dhaka.</w:t>
      </w:r>
    </w:p>
    <w:p>
      <w:pPr>
        <w:pStyle w:val="BodyText"/>
      </w:pPr>
      <w:r>
        <w:t xml:space="preserve">The urban environment presents distinct challenges, from overcrowding to socio-economic disparity, but it also offers unique opportunities for innovation through density and connectivity. By investing in robust, continuous, and supportive professional frameworks for secondary teachers, stakeholders can ensure that education in Bangladesh becomes a true engine of social mobility and economic development. The success of these initiatives will not only redefine the academic standards of Bangladesh Dhaka but also serve as a model for other rapidly urbanizing regions in South Asia.</w:t>
      </w:r>
    </w:p>
    <w:p>
      <w:pPr>
        <w:pStyle w:val="BodyText"/>
      </w:pPr>
      <w:r>
        <w:t xml:space="preserve">© 2023 Educational Development Institute. All Rights Reserved.</w:t>
      </w:r>
      <w:r>
        <w:br/>
      </w:r>
      <w:r>
        <w:t xml:space="preserve">This document is strictly for informational purposes regarding the case study of Teacher Secondary initiatives in Bangladesh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2026-07-29T03:52:29Z</dcterms:created>
  <dcterms:modified xsi:type="dcterms:W3CDTF">2026-07-29T03:52:29Z</dcterms:modified>
</cp:coreProperties>
</file>

<file path=docProps/custom.xml><?xml version="1.0" encoding="utf-8"?>
<Properties xmlns="http://schemas.openxmlformats.org/officeDocument/2006/custom-properties" xmlns:vt="http://schemas.openxmlformats.org/officeDocument/2006/docPropsVTypes"/>
</file>