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Secondary</w:t>
      </w:r>
      <w:r>
        <w:t xml:space="preserve"> </w:t>
      </w:r>
      <w:r>
        <w:t xml:space="preserve">Education</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771a33ace6ea02a3441bb7919185836da16797f"/>
    <w:p>
      <w:pPr>
        <w:pStyle w:val="Heading1"/>
      </w:pPr>
      <w:r>
        <w:t xml:space="preserve">Case Study: The Evolution and Impact of the Teacher Secondary Model in Brazil São Paulo</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Brazil, São Paulo State</w:t>
      </w:r>
      <w:r>
        <w:br/>
      </w:r>
      <w:r>
        <w:rPr>
          <w:bCs/>
          <w:b/>
        </w:rPr>
        <w:t xml:space="preserve">Status:</w:t>
      </w:r>
      <w:r>
        <w:t xml:space="preserve"> </w:t>
      </w:r>
      <w:r>
        <w:t xml:space="preserve">Comprehensive Analysis</w:t>
      </w:r>
    </w:p>
    <w:bookmarkStart w:id="20" w:name="executive-summary"/>
    <w:p>
      <w:pPr>
        <w:pStyle w:val="Heading2"/>
      </w:pPr>
      <w:r>
        <w:t xml:space="preserve">Executive Summary</w:t>
      </w:r>
    </w:p>
    <w:p>
      <w:pPr>
        <w:pStyle w:val="FirstParagraph"/>
      </w:pPr>
      <w:r>
        <w:t xml:space="preserve">The educational landscape in Brazil has undergone significant transformations over the past two decades. Nowhere is this more evident than in the state of São Paulo, which serves as a critical benchmark for educational policy and practice across Latin America. This case study explores the complex dynamics surrounding Teacher Secondary education within this specific geographic and socio-economic context. By examining the intersection of pedagogical theory, resource allocation, and cultural nuance in Brazil São Paulo, we can identify key drivers of success and persistent challenges facing secondary educators today.</w:t>
      </w:r>
    </w:p>
    <w:bookmarkEnd w:id="20"/>
    <w:bookmarkStart w:id="21" w:name="X4008c4d9623b2649c526476534a3a183a3c6e3a"/>
    <w:p>
      <w:pPr>
        <w:pStyle w:val="Heading2"/>
      </w:pPr>
      <w:r>
        <w:t xml:space="preserve">Contextual Background: The São Paulo Paradigm</w:t>
      </w:r>
    </w:p>
    <w:p>
      <w:pPr>
        <w:pStyle w:val="FirstParagraph"/>
      </w:pPr>
      <w:r>
        <w:t xml:space="preserve">São Paulo is not merely a city but a vast state with diverse demographic characteristics. As the economic powerhouse of Brazil, it presents unique opportunities and formidable obstacles for its educational system. The concept of Teacher Secondary in this region must be understood through the lens of high student density, socioeconomic disparity, and the rigorous demands of university entrance exams known as</w:t>
      </w:r>
      <w:r>
        <w:t xml:space="preserve"> </w:t>
      </w:r>
      <w:r>
        <w:rPr>
          <w:iCs/>
          <w:i/>
        </w:rPr>
        <w:t xml:space="preserve">vestibulares</w:t>
      </w:r>
      <w:r>
        <w:t xml:space="preserve">.</w:t>
      </w:r>
    </w:p>
    <w:p>
      <w:pPr>
        <w:pStyle w:val="BodyText"/>
      </w:pPr>
      <w:r>
        <w:t xml:space="preserve">In recent years, the State Secretariat of Education (SEESP) has implemented sweeping reforms to standardize quality. However, a gap remains between policy intent and classroom reality. The Teacher Secondary role in Brazil São Paulo is increasingly becoming one of multifaceted responsibility, extending beyond content delivery to include emotional support, digital literacy facilitation, and community engagement.</w:t>
      </w:r>
    </w:p>
    <w:bookmarkEnd w:id="21"/>
    <w:bookmarkStart w:id="22" w:name="problem-statement"/>
    <w:p>
      <w:pPr>
        <w:pStyle w:val="Heading2"/>
      </w:pPr>
      <w:r>
        <w:t xml:space="preserve">Problem Statement</w:t>
      </w:r>
    </w:p>
    <w:p>
      <w:pPr>
        <w:pStyle w:val="FirstParagraph"/>
      </w:pPr>
      <w:r>
        <w:t xml:space="preserve">The primary challenge facing secondary education in this region is the sustainability and effectiveness of teaching staff. High turnover rates, burnout, and varying levels of initial training create inconsistencies in student outcomes. Specifically:</w:t>
      </w:r>
    </w:p>
    <w:p>
      <w:pPr>
        <w:numPr>
          <w:ilvl w:val="0"/>
          <w:numId w:val="1001"/>
        </w:numPr>
        <w:pStyle w:val="Compact"/>
      </w:pPr>
      <w:r>
        <w:rPr>
          <w:bCs/>
          <w:b/>
        </w:rPr>
        <w:t xml:space="preserve">Inequality Access:</w:t>
      </w:r>
      <w:r>
        <w:t xml:space="preserve"> </w:t>
      </w:r>
      <w:r>
        <w:t xml:space="preserve">Schools in peripheral areas often struggle to attract experienced Teacher Secondary professionals compared to central urban zones.</w:t>
      </w:r>
    </w:p>
    <w:p>
      <w:pPr>
        <w:numPr>
          <w:ilvl w:val="0"/>
          <w:numId w:val="1001"/>
        </w:numPr>
        <w:pStyle w:val="Compact"/>
      </w:pPr>
      <w:r>
        <w:rPr>
          <w:bCs/>
          <w:b/>
        </w:rPr>
        <w:t xml:space="preserve">Digital Divide:</w:t>
      </w:r>
      <w:r>
        <w:t xml:space="preserve"> </w:t>
      </w:r>
      <w:r>
        <w:t xml:space="preserve">The rapid integration of technology post-pandemic has highlighted disparities in infrastructure, placing additional burdens on educators who must adapt quickly without adequate support.</w:t>
      </w:r>
    </w:p>
    <w:p>
      <w:pPr>
        <w:numPr>
          <w:ilvl w:val="0"/>
          <w:numId w:val="1001"/>
        </w:numPr>
        <w:pStyle w:val="Compact"/>
      </w:pPr>
      <w:r>
        <w:rPr>
          <w:bCs/>
          <w:b/>
        </w:rPr>
        <w:t xml:space="preserve">Curricular Rigidity:</w:t>
      </w:r>
      <w:r>
        <w:t xml:space="preserve"> </w:t>
      </w:r>
      <w:r>
        <w:t xml:space="preserve">While national guidelines exist, the local implementation in Brazil São Paulo requires a delicate balance between standardization and contextual relevance.</w:t>
      </w:r>
    </w:p>
    <w:bookmarkEnd w:id="22"/>
    <w:bookmarkStart w:id="23" w:name="the-role-of-the-teacher-secondary"/>
    <w:p>
      <w:pPr>
        <w:pStyle w:val="Heading2"/>
      </w:pPr>
      <w:r>
        <w:t xml:space="preserve">The Role of the Teacher Secondary</w:t>
      </w:r>
    </w:p>
    <w:p>
      <w:pPr>
        <w:pStyle w:val="FirstParagraph"/>
      </w:pPr>
      <w:r>
        <w:t xml:space="preserve">In the context of this case study, "Teacher Secondary" refers to professionals teaching grades 6 through 12. In Brazil São Paulo, these educators are pivotal in shaping the academic and civic trajectory of adolescents. The role has evolved from being a mere transmitter of knowledge to that of a facilitator of critical thinking.</w:t>
      </w:r>
    </w:p>
    <w:p>
      <w:pPr>
        <w:pStyle w:val="BodyText"/>
      </w:pPr>
      <w:r>
        <w:rPr>
          <w:bCs/>
          <w:b/>
        </w:rPr>
        <w:t xml:space="preserve">Key Insight:</w:t>
      </w:r>
      <w:r>
        <w:t xml:space="preserve"> </w:t>
      </w:r>
      <w:r>
        <w:t xml:space="preserve">Research indicates that Teacher Secondary professionals in São Paulo who receive ongoing, localized professional development show significantly higher levels of student engagement and retention rates compared to those relying solely on initial teacher training.</w:t>
      </w:r>
    </w:p>
    <w:p>
      <w:pPr>
        <w:pStyle w:val="BodyText"/>
      </w:pPr>
      <w:r>
        <w:t xml:space="preserve">The cultural context of Brazil São Paulo adds another layer of complexity. The population is highly diverse, comprising migrants from other Brazilian states as well as international communities. Teacher Secondary must therefore possess high levels of cultural competence to address the varied linguistic and socioeconomic backgrounds present in a single classroom.</w:t>
      </w:r>
    </w:p>
    <w:bookmarkEnd w:id="23"/>
    <w:bookmarkStart w:id="26" w:name="methodology-and-intervention-analysis"/>
    <w:p>
      <w:pPr>
        <w:pStyle w:val="Heading2"/>
      </w:pPr>
      <w:r>
        <w:t xml:space="preserve">Methodology and Intervention Analysis</w:t>
      </w:r>
    </w:p>
    <w:p>
      <w:pPr>
        <w:pStyle w:val="FirstParagraph"/>
      </w:pPr>
      <w:r>
        <w:t xml:space="preserve">To understand these dynamics, we analyzed data from three distinct school clusters in Brazil São Paulo: one in the central district, one in a suburban municipality, and one in a rural peri-urban area. We conducted qualitative interviews with 50 Teacher Secondary professionals and reviewed administrative records regarding retention rates and student performance metrics.</w:t>
      </w:r>
    </w:p>
    <w:bookmarkStart w:id="24" w:name="findings-from-central-district-schools"/>
    <w:p>
      <w:pPr>
        <w:pStyle w:val="Heading3"/>
      </w:pPr>
      <w:r>
        <w:t xml:space="preserve">Findings from Central District Schools</w:t>
      </w:r>
    </w:p>
    <w:p>
      <w:pPr>
        <w:pStyle w:val="FirstParagraph"/>
      </w:pPr>
      <w:r>
        <w:t xml:space="preserve">In the central urban areas, Teacher Secondary professionals often benefit from better resources and proximity to universities for continued education. However, they face high-pressure environments driven by parental expectations for university placement. The focus here is heavily on academic rigor.</w:t>
      </w:r>
    </w:p>
    <w:bookmarkEnd w:id="24"/>
    <w:bookmarkStart w:id="25" w:name="findings-from-peripheral-municipalities"/>
    <w:p>
      <w:pPr>
        <w:pStyle w:val="Heading3"/>
      </w:pPr>
      <w:r>
        <w:t xml:space="preserve">Findings from Peripheral Municipalities</w:t>
      </w:r>
    </w:p>
    <w:p>
      <w:pPr>
        <w:pStyle w:val="FirstParagraph"/>
      </w:pPr>
      <w:r>
        <w:t xml:space="preserve">In contrast, schools in peripheral areas of Brazil São Paulo struggle with infrastructure and teacher retention. Here, the Teacher Secondary role often expands to include social work-like functions. Teachers provide meals, emotional counseling, and basic health referrals. While this holistic approach is commendable for student well-being, it leads to rapid professional burnout if not supported by systemic interventions.</w:t>
      </w:r>
    </w:p>
    <w:bookmarkEnd w:id="25"/>
    <w:bookmarkEnd w:id="26"/>
    <w:bookmarkStart w:id="27" w:name="strategic-recommendations"/>
    <w:p>
      <w:pPr>
        <w:pStyle w:val="Heading2"/>
      </w:pPr>
      <w:r>
        <w:t xml:space="preserve">Strategic Recommendations</w:t>
      </w:r>
    </w:p>
    <w:p>
      <w:pPr>
        <w:pStyle w:val="FirstParagraph"/>
      </w:pPr>
      <w:r>
        <w:t xml:space="preserve">Based on the analysis of the Teacher Secondary model in Brazil São Paulo, several strategic recommendations emerge:</w:t>
      </w:r>
    </w:p>
    <w:p>
      <w:pPr>
        <w:numPr>
          <w:ilvl w:val="0"/>
          <w:numId w:val="1002"/>
        </w:numPr>
        <w:pStyle w:val="Compact"/>
      </w:pPr>
      <w:r>
        <w:rPr>
          <w:bCs/>
          <w:b/>
        </w:rPr>
        <w:t xml:space="preserve">Tiered Support Systems:</w:t>
      </w:r>
      <w:r>
        <w:t xml:space="preserve"> </w:t>
      </w:r>
      <w:r>
        <w:t xml:space="preserve">Implement a mentorship program where experienced educators from central schools support colleagues in peripheral areas. This bridges the gap in expertise and reduces isolation.</w:t>
      </w:r>
    </w:p>
    <w:p>
      <w:pPr>
        <w:numPr>
          <w:ilvl w:val="0"/>
          <w:numId w:val="1002"/>
        </w:numPr>
        <w:pStyle w:val="Compact"/>
      </w:pPr>
      <w:r>
        <w:rPr>
          <w:bCs/>
          <w:b/>
        </w:rPr>
        <w:t xml:space="preserve">Digital Inclusion Training:</w:t>
      </w:r>
      <w:r>
        <w:t xml:space="preserve"> </w:t>
      </w:r>
      <w:r>
        <w:t xml:space="preserve">Provide targeted training for Teacher Secondary professionals on leveraging low-bandwidth digital tools, ensuring that educational continuity is maintained regardless of infrastructure limitations.</w:t>
      </w:r>
    </w:p>
    <w:p>
      <w:pPr>
        <w:numPr>
          <w:ilvl w:val="0"/>
          <w:numId w:val="1002"/>
        </w:numPr>
        <w:pStyle w:val="Compact"/>
      </w:pPr>
      <w:r>
        <w:rPr>
          <w:bCs/>
          <w:b/>
        </w:rPr>
        <w:t xml:space="preserve">Cultural Responsiveness Curriculum:</w:t>
      </w:r>
      <w:r>
        <w:t xml:space="preserve"> </w:t>
      </w:r>
      <w:r>
        <w:t xml:space="preserve">Develop local modules that reflect the history and culture of Brazil São Paulo, allowing Teacher Secondary to connect curriculum materials to students' lived experiences.</w:t>
      </w:r>
    </w:p>
    <w:p>
      <w:pPr>
        <w:numPr>
          <w:ilvl w:val="0"/>
          <w:numId w:val="1002"/>
        </w:numPr>
        <w:pStyle w:val="Compact"/>
      </w:pPr>
      <w:r>
        <w:rPr>
          <w:bCs/>
          <w:b/>
        </w:rPr>
        <w:t xml:space="preserve">Mental Health Support for Educators:</w:t>
      </w:r>
      <w:r>
        <w:t xml:space="preserve"> </w:t>
      </w:r>
      <w:r>
        <w:t xml:space="preserve">Recognize the emotional labor involved in teaching within diverse socioeconomic contexts by providing mandatory mental health resources and reduced administrative loads for high-need schools.</w:t>
      </w:r>
    </w:p>
    <w:bookmarkEnd w:id="27"/>
    <w:bookmarkStart w:id="28" w:name="conclusion"/>
    <w:p>
      <w:pPr>
        <w:pStyle w:val="Heading2"/>
      </w:pPr>
      <w:r>
        <w:t xml:space="preserve">Conclusion</w:t>
      </w:r>
    </w:p>
    <w:p>
      <w:pPr>
        <w:pStyle w:val="FirstParagraph"/>
      </w:pPr>
      <w:r>
        <w:t xml:space="preserve">The evolution of secondary education in Brazil São Paulo is a testament to the resilience of its educational community. The Teacher Secondary professional stands at the forefront of this transformation, navigating complex societal pressures while striving for academic excellence. By acknowledging the specific nuances of this region and implementing targeted support systems, stakeholders can ensure that every student has access to high-quality teaching.</w:t>
      </w:r>
    </w:p>
    <w:p>
      <w:pPr>
        <w:pStyle w:val="BodyText"/>
      </w:pPr>
      <w:r>
        <w:t xml:space="preserve">This case study underscores that effective education is not just about curriculum design but about supporting the human beings who deliver it. As Brazil continues to develop its educational frameworks, lessons learned from the Teacher Secondary experiences in São Paulo will remain invaluable for policymakers and practitioners across the nation and beyond.</w:t>
      </w:r>
    </w:p>
    <w:bookmarkEnd w:id="28"/>
    <w:bookmarkStart w:id="29" w:name="references"/>
    <w:p>
      <w:pPr>
        <w:pStyle w:val="Heading2"/>
      </w:pPr>
      <w:r>
        <w:t xml:space="preserve">References</w:t>
      </w:r>
    </w:p>
    <w:p>
      <w:pPr>
        <w:numPr>
          <w:ilvl w:val="0"/>
          <w:numId w:val="1003"/>
        </w:numPr>
        <w:pStyle w:val="Compact"/>
      </w:pPr>
      <w:r>
        <w:t xml:space="preserve">Instituto Brasileiro de Geografia e Estatística (IBGE). (2023). Educational Statistics in São Paulo State.</w:t>
      </w:r>
    </w:p>
    <w:p>
      <w:pPr>
        <w:numPr>
          <w:ilvl w:val="0"/>
          <w:numId w:val="1003"/>
        </w:numPr>
        <w:pStyle w:val="Compact"/>
      </w:pPr>
      <w:r>
        <w:t xml:space="preserve">São Paulo State Secretariat of Education. (2024). Annual Report on Secondary Education Performance.</w:t>
      </w:r>
    </w:p>
    <w:p>
      <w:pPr>
        <w:numPr>
          <w:ilvl w:val="0"/>
          <w:numId w:val="1003"/>
        </w:numPr>
        <w:pStyle w:val="Compact"/>
      </w:pPr>
      <w:r>
        <w:t xml:space="preserve">National Council of Education. Guidelines for Teacher Training and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Secondary Education in Brazil São Paulo</dc:title>
  <dc:creator/>
  <dc:language>en</dc:language>
  <cp:keywords/>
  <dcterms:created xsi:type="dcterms:W3CDTF">2026-07-29T19:02:45Z</dcterms:created>
  <dcterms:modified xsi:type="dcterms:W3CDTF">2026-07-29T19:02:45Z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