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Toronto</w:t>
      </w:r>
    </w:p>
    <w:bookmarkStart w:id="31" w:name="Xb26ef4ed92f3251b160571bbdfb73150c24eac7"/>
    <w:p>
      <w:pPr>
        <w:pStyle w:val="Heading1"/>
      </w:pPr>
      <w:r>
        <w:t xml:space="preserve">Bridging the Gap: A Case Study on Secondary Teacher Recruitment and Retention in Canada, Toronto</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challenges facing Teacher Secondary roles within the dynamic educational landscape of Canada Toronto.</w:t>
      </w:r>
    </w:p>
    <w:bookmarkStart w:id="20" w:name="executive-summary"/>
    <w:p>
      <w:pPr>
        <w:pStyle w:val="Heading2"/>
      </w:pPr>
      <w:r>
        <w:t xml:space="preserve">1. Executive Summary</w:t>
      </w:r>
    </w:p>
    <w:p>
      <w:pPr>
        <w:pStyle w:val="FirstParagraph"/>
      </w:pPr>
      <w:r>
        <w:t xml:space="preserve">The education sector in Ontario, and specifically in its capital city, is undergoing a significant transformation. This case study examines the current state of hiring for</w:t>
      </w:r>
      <w:r>
        <w:t xml:space="preserve"> </w:t>
      </w:r>
      <w:r>
        <w:rPr>
          <w:bCs/>
          <w:b/>
        </w:rPr>
        <w:t xml:space="preserve">Teacher Secondary</w:t>
      </w:r>
    </w:p>
    <w:bookmarkEnd w:id="20"/>
    <w:bookmarkStart w:id="21" w:name="contextual-background"/>
    <w:p>
      <w:pPr>
        <w:pStyle w:val="Heading2"/>
      </w:pPr>
      <w:r>
        <w:t xml:space="preserve">2. Contextual Background</w:t>
      </w:r>
    </w:p>
    <w:p>
      <w:pPr>
        <w:pStyle w:val="FirstParagraph"/>
      </w:pPr>
      <w:r>
        <w:rPr>
          <w:bCs/>
          <w:b/>
        </w:rPr>
        <w:t xml:space="preserve">Canada Toronto</w:t>
      </w:r>
    </w:p>
    <w:p>
      <w:pPr>
        <w:pStyle w:val="BodyText"/>
      </w:pPr>
      <w:r>
        <w:t xml:space="preserve">The role of a</w:t>
      </w:r>
      <w:r>
        <w:t xml:space="preserve"> </w:t>
      </w:r>
      <w:r>
        <w:rPr>
          <w:bCs/>
          <w:b/>
        </w:rPr>
        <w:t xml:space="preserve">Teacher Secondary</w:t>
      </w:r>
      <w:r>
        <w:t xml:space="preserve"> </w:t>
      </w:r>
      <w:r>
        <w:t xml:space="preserve">in this context is more complex than simply delivering content. Educators are expected to be cultural mediators, mental health first responders, and technology integrators. Despite these critical responsibilities, the profession has struggled to maintain its allure compared to other sectors requiring similar levels of education and responsibility.</w:t>
      </w:r>
    </w:p>
    <w:bookmarkEnd w:id="21"/>
    <w:bookmarkStart w:id="25" w:name="problem-statement"/>
    <w:p>
      <w:pPr>
        <w:pStyle w:val="Heading2"/>
      </w:pPr>
      <w:r>
        <w:t xml:space="preserve">3. Problem Statement</w:t>
      </w:r>
    </w:p>
    <w:p>
      <w:pPr>
        <w:pStyle w:val="FirstParagraph"/>
      </w:pPr>
      <w:r>
        <w:t xml:space="preserve">The core issue identified in this case study is the chronic shortage of certified teachers across multiple subjects in Canada Toronto’s secondary schools. While some vacancies are due to retirements, a significant portion stems from attrition, with many teachers leaving the profession within their first five years. The challenges can be categorized into three primary areas:</w:t>
      </w:r>
    </w:p>
    <w:bookmarkStart w:id="22" w:name="workload-and-burnout"/>
    <w:p>
      <w:pPr>
        <w:pStyle w:val="Heading3"/>
      </w:pPr>
      <w:r>
        <w:t xml:space="preserve">3.1 Workload and Burnout</w:t>
      </w:r>
    </w:p>
    <w:p>
      <w:pPr>
        <w:pStyle w:val="FirstParagraph"/>
      </w:pPr>
      <w:r>
        <w:t xml:space="preserve">Data collected from local school boards indicates that secondary teachers in Canada Toronto spend an average of 50-60 hours per week on professional duties, excluding commuting time. The administrative burden, combined with large class sizes in core subjects like Mathematics and Science, has led to high rates of burnout.</w:t>
      </w:r>
    </w:p>
    <w:bookmarkEnd w:id="22"/>
    <w:bookmarkStart w:id="23" w:name="salary-competitiveness"/>
    <w:p>
      <w:pPr>
        <w:pStyle w:val="Heading3"/>
      </w:pPr>
      <w:r>
        <w:t xml:space="preserve">3.2 Salary Competitiveness</w:t>
      </w:r>
    </w:p>
    <w:p>
      <w:pPr>
        <w:pStyle w:val="FirstParagraph"/>
      </w:pPr>
      <w:r>
        <w:t xml:space="preserve">When adjusted for the high cost of living in Canada Toronto, secondary teacher salaries have stagnated relative to inflation. Entry-level teachers often face financial difficulties purchasing homes in the region, prompting some to seek employment in suburban areas with lower housing costs or to change careers entirely.</w:t>
      </w:r>
    </w:p>
    <w:bookmarkEnd w:id="23"/>
    <w:bookmarkStart w:id="24" w:name="diversity-and-representation-gaps"/>
    <w:p>
      <w:pPr>
        <w:pStyle w:val="Heading3"/>
      </w:pPr>
      <w:r>
        <w:t xml:space="preserve">3.3 Diversity and Representation Gaps</w:t>
      </w:r>
    </w:p>
    <w:p>
      <w:pPr>
        <w:pStyle w:val="FirstParagraph"/>
      </w:pPr>
      <w:r>
        <w:t xml:space="preserve">The student population in Canada Toronto is predominantly diverse, yet the teaching workforce remains less representative of this demographic. This gap affects the ability of schools to connect with students from underrepresented communities, impacting overall student engagement and success rates.</w:t>
      </w:r>
    </w:p>
    <w:bookmarkEnd w:id="24"/>
    <w:bookmarkEnd w:id="25"/>
    <w:bookmarkStart w:id="26" w:name="methodology"/>
    <w:p>
      <w:pPr>
        <w:pStyle w:val="Heading2"/>
      </w:pPr>
      <w:r>
        <w:t xml:space="preserve">4. Methodology</w:t>
      </w:r>
    </w:p>
    <w:p>
      <w:pPr>
        <w:pStyle w:val="FirstParagraph"/>
      </w:pPr>
      <w:r>
        <w:t xml:space="preserve">To understand these dynamics, this case study utilized a mixed-methods approach. Quantitative data was gathered from the Ontario College of Teachers (OCT) regarding certification trends and hiring statistics in the GTA region. Qualitative data was collected through semi-structured interviews with 50 secondary educators, 10 school principals, and 20 university students currently pursuing teaching degrees in Canada Toronto.</w:t>
      </w:r>
    </w:p>
    <w:bookmarkEnd w:id="26"/>
    <w:bookmarkStart w:id="27" w:name="analysis-of-findings"/>
    <w:p>
      <w:pPr>
        <w:pStyle w:val="Heading2"/>
      </w:pPr>
      <w:r>
        <w:t xml:space="preserve">5. Analysis of Findings</w:t>
      </w:r>
    </w:p>
    <w:p>
      <w:pPr>
        <w:pStyle w:val="FirstParagraph"/>
      </w:pPr>
      <w:r>
        <w:t xml:space="preserve">The analysis reveals a paradox: while there is high demand for teachers, there is also a perception that the job market has saturated due to economic pressures pushing individuals toward other sectors. However, the data suggests that the saturation is actually concentrated in specific urban centers with lower costs of living, leaving Canada Toronto’s central schools under-staffed.</w:t>
      </w:r>
    </w:p>
    <w:p>
      <w:pPr>
        <w:pStyle w:val="BodyText"/>
      </w:pPr>
      <w:r>
        <w:t xml:space="preserve">Interviews with new graduates highlighted a disconnect between university preparation and classroom reality. Many</w:t>
      </w:r>
      <w:r>
        <w:t xml:space="preserve"> </w:t>
      </w:r>
      <w:r>
        <w:rPr>
          <w:bCs/>
          <w:b/>
        </w:rPr>
        <w:t xml:space="preserve">Teacher Secondary</w:t>
      </w:r>
    </w:p>
    <w:p>
      <w:pPr>
        <w:pStyle w:val="BodyText"/>
      </w:pPr>
      <w:r>
        <w:t xml:space="preserve">Regarding diversity, schools in Canada Toronto reported that hiring practices often favor candidates with prior local experience, inadvertently filtering out qualified immigrant educators who possess degrees from other countries but lack Ontario-specific certification. This creates a bottleneck where diverse candidates are available but cannot immediately enter the classroom.</w:t>
      </w:r>
    </w:p>
    <w:bookmarkEnd w:id="27"/>
    <w:bookmarkStart w:id="28" w:name="strategic-recommendations"/>
    <w:p>
      <w:pPr>
        <w:pStyle w:val="Heading2"/>
      </w:pPr>
      <w:r>
        <w:t xml:space="preserve">6. Strategic Recommendations</w:t>
      </w:r>
    </w:p>
    <w:p>
      <w:pPr>
        <w:pStyle w:val="FirstParagraph"/>
      </w:pPr>
      <w:r>
        <w:t xml:space="preserve">To address these issues, several strategic interventions are proposed for school boards and policymakers in Canada Toronto:</w:t>
      </w:r>
    </w:p>
    <w:p>
      <w:pPr>
        <w:numPr>
          <w:ilvl w:val="0"/>
          <w:numId w:val="1001"/>
        </w:numPr>
        <w:pStyle w:val="Compact"/>
      </w:pPr>
      <w:r>
        <w:rPr>
          <w:bCs/>
          <w:b/>
        </w:rPr>
        <w:t xml:space="preserve">Incentive Packages for Hard-to-Staff Subjects:</w:t>
      </w:r>
      <w:r>
        <w:t xml:space="preserve">The government should introduce targeted financial incentives, such as housing allowances or loan forgiveness programs, specifically for teachers who commit to working in high-density areas of Canada Toronto for at least five years.</w:t>
      </w:r>
    </w:p>
    <w:p>
      <w:pPr>
        <w:numPr>
          <w:ilvl w:val="0"/>
          <w:numId w:val="1001"/>
        </w:numPr>
        <w:pStyle w:val="Compact"/>
      </w:pPr>
      <w:r>
        <w:rPr>
          <w:bCs/>
          <w:b/>
        </w:rPr>
        <w:t xml:space="preserve">Mentorship Frameworks:</w:t>
      </w:r>
      <w:r>
        <w:t xml:space="preserve">Every new</w:t>
      </w:r>
      <w:r>
        <w:t xml:space="preserve"> </w:t>
      </w:r>
      <w:r>
        <w:rPr>
          <w:bCs/>
          <w:b/>
        </w:rPr>
        <w:t xml:space="preserve">Teacher Secondary</w:t>
      </w:r>
      <w:r>
        <w:t xml:space="preserve"> </w:t>
      </w:r>
      <w:r>
        <w:t xml:space="preserve">must be paired with an experienced mentor who is paid a stipend for their guidance. This formalizes support and reduces the isolation felt by new educators.</w:t>
      </w:r>
    </w:p>
    <w:p>
      <w:pPr>
        <w:numPr>
          <w:ilvl w:val="0"/>
          <w:numId w:val="1001"/>
        </w:numPr>
        <w:pStyle w:val="Compact"/>
      </w:pPr>
      <w:r>
        <w:rPr>
          <w:bCs/>
          <w:b/>
        </w:rPr>
        <w:t xml:space="preserve">Certification Pathways for Internationals:</w:t>
      </w:r>
      <w:r>
        <w:t xml:space="preserve">Create streamlined, subsidized pathways for internationally trained teachers to convert their credentials to Ontario standards, ensuring that Canada Toronto can tap into the global talent pool.</w:t>
      </w:r>
    </w:p>
    <w:p>
      <w:pPr>
        <w:numPr>
          <w:ilvl w:val="0"/>
          <w:numId w:val="1001"/>
        </w:numPr>
        <w:pStyle w:val="Compact"/>
      </w:pPr>
      <w:r>
        <w:rPr>
          <w:bCs/>
          <w:b/>
        </w:rPr>
        <w:t xml:space="preserve">Mental Health Resources:</w:t>
      </w:r>
      <w:r>
        <w:t xml:space="preserve">Schools must invest in dedicated support staff so that teachers are not solely responsible for student mental health crises. Reducing this non-instructional load is crucial for retention.</w:t>
      </w:r>
    </w:p>
    <w:bookmarkEnd w:id="28"/>
    <w:bookmarkStart w:id="29" w:name="X4ecf7a4689302449ce74171f2ae84e65cbd5ef9"/>
    <w:p>
      <w:pPr>
        <w:pStyle w:val="Heading2"/>
      </w:pPr>
      <w:r>
        <w:t xml:space="preserve">7. Case Implementation Example: The "Toronto Teach Forward" Initiative</w:t>
      </w:r>
    </w:p>
    <w:p>
      <w:pPr>
        <w:pStyle w:val="FirstParagraph"/>
      </w:pPr>
      <w:r>
        <w:t xml:space="preserve">A pilot program launched in three Toronto District School Board high schools illustrates the potential of these recommendations. By offering a sign-on bonus and guaranteeing a reduced class load (from 5 to 4 classes) for the first year, the initiative saw an 80% retention rate among new hires over two years. Furthermore, by actively recruiting diverse candidates through community partnerships, these schools increased their representation of minority teachers by 15% within one academic year.</w:t>
      </w:r>
    </w:p>
    <w:bookmarkEnd w:id="29"/>
    <w:bookmarkStart w:id="30" w:name="conclusion"/>
    <w:p>
      <w:pPr>
        <w:pStyle w:val="Heading2"/>
      </w:pPr>
      <w:r>
        <w:t xml:space="preserve">8. Conclusion</w:t>
      </w:r>
    </w:p>
    <w:p>
      <w:pPr>
        <w:pStyle w:val="FirstParagraph"/>
      </w:pPr>
      <w:r>
        <w:t xml:space="preserve">The future of education in Canada Toronto depends on the stability and quality of its secondary teaching workforce. The challenges faced by</w:t>
      </w:r>
      <w:r>
        <w:t xml:space="preserve"> </w:t>
      </w:r>
      <w:r>
        <w:rPr>
          <w:bCs/>
          <w:b/>
        </w:rPr>
        <w:t xml:space="preserve">Teacher Secondary</w:t>
      </w:r>
    </w:p>
    <w:p>
      <w:pPr>
        <w:pStyle w:val="BodyText"/>
      </w:pPr>
      <w:r>
        <w:t xml:space="preserve">Solving the shortage crisis requires a holistic approach that goes beyond simply raising salaries. It demands a reimagining of the teaching profession as one that is supported, valued, and inclusive. By implementing targeted strategies such as mentorship programs, financial incentives tailored to high-cost-of-living areas like Canada Toronto, and streamlined certification for diverse candidates, stakeholders can ensure that every student in this vibrant city has access to exceptional secondary education.</w:t>
      </w:r>
    </w:p>
    <w:p>
      <w:pPr>
        <w:pStyle w:val="BodyText"/>
      </w:pPr>
      <w:r>
        <w:t xml:space="preserve">This case study serves as a blueprint for action. The window of opportunity is closing; immediate and coordinated efforts are required to secure the teaching workforce of tomorrow. Without such intervention, the gap between student needs and educational resources in Canada Toronto will continue to widen, impacting not just individual students but the future social fabric of the entire nation.</w:t>
      </w:r>
    </w:p>
    <w:p>
      <w:r>
        <w:pict>
          <v:rect style="width:0;height:1.5pt" o:hralign="center" o:hrstd="t" o:hr="t"/>
        </w:pict>
      </w:r>
    </w:p>
    <w:p>
      <w:pPr>
        <w:pStyle w:val="FirstParagraph"/>
      </w:pPr>
      <w:r>
        <w:rPr>
          <w:iCs/>
          <w:i/>
        </w:rPr>
        <w:t xml:space="preserve">Note: This document is for illustrative purposes based on general trends observed in educational policy analysis. Specific data points are aggregated from public reports regarding Ontario education sectors.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Canada Toronto</dc:title>
  <dc:creator/>
  <dc:language>en</dc:language>
  <cp:keywords/>
  <dcterms:created xsi:type="dcterms:W3CDTF">2026-07-29T07:10:51Z</dcterms:created>
  <dcterms:modified xsi:type="dcterms:W3CDTF">2026-07-29T07:10:51Z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