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Chile</w:t>
      </w:r>
      <w:r>
        <w:t xml:space="preserve"> </w:t>
      </w:r>
      <w:r>
        <w:t xml:space="preserve">Santiago</w:t>
      </w:r>
    </w:p>
    <w:bookmarkStart w:id="33" w:name="X1639780b22740ab3ca8a1fafa05ec43c6c058b3"/>
    <w:p>
      <w:pPr>
        <w:pStyle w:val="Heading1"/>
      </w:pPr>
      <w:r>
        <w:t xml:space="preserve">Case Study: The Modernization and Challenges of the Teacher Secondary Profession in Chile Santiago</w:t>
      </w:r>
    </w:p>
    <w:p>
      <w:pPr>
        <w:pStyle w:val="FirstParagraph"/>
      </w:pPr>
      <w:r>
        <w:rPr>
          <w:bCs/>
          <w:b/>
        </w:rPr>
        <w:t xml:space="preserve">Date:</w:t>
      </w:r>
      <w:r>
        <w:t xml:space="preserve"> </w:t>
      </w:r>
      <w:r>
        <w:t xml:space="preserve">October 2023</w:t>
      </w:r>
      <w:r>
        <w:br/>
      </w:r>
    </w:p>
    <w:p>
      <w:pPr>
        <w:pStyle w:val="BodyText"/>
      </w:pPr>
      <w:r>
        <w:rPr>
          <w:iCs/>
          <w:i/>
          <w:bCs/>
          <w:b/>
        </w:rPr>
        <w:t xml:space="preserve">Note:</w:t>
      </w:r>
    </w:p>
    <w:bookmarkStart w:id="20" w:name="introduction"/>
    <w:p>
      <w:pPr>
        <w:pStyle w:val="Heading2"/>
      </w:pPr>
      <w:r>
        <w:t xml:space="preserve">1. Introduction</w:t>
      </w:r>
    </w:p>
    <w:p>
      <w:pPr>
        <w:pStyle w:val="FirstParagraph"/>
      </w:pPr>
      <w:r>
        <w:t xml:space="preserve">The educational landscape in Chile has undergone profound transformations over the last two decades, driven by legislative reforms, demographic shifts, and a growing demand for quality equity. At the heart of this transformation lies the figure of the Teacher Secondary (Teacher Secondary). This case study focuses specifically on</w:t>
      </w:r>
      <w:r>
        <w:t xml:space="preserve"> </w:t>
      </w:r>
      <w:r>
        <w:rPr>
          <w:bCs/>
          <w:b/>
        </w:rPr>
        <w:t xml:space="preserve">Chile Santiago</w:t>
      </w:r>
      <w:r>
        <w:t xml:space="preserve">, a region characterized by high socioeconomic disparity yet acting as the central hub for educational policy implementation in South America. The purpose of this document is to analyze how historical mandates, such as Law 20.403, have reshaped the identity, responsibilities, and professional standing of the Teacher Secondary within this specific geographic and cultural context.</w:t>
      </w:r>
    </w:p>
    <w:p>
      <w:pPr>
        <w:pStyle w:val="BodyText"/>
      </w:pPr>
      <w:r>
        <w:rPr>
          <w:bCs/>
          <w:b/>
        </w:rPr>
        <w:t xml:space="preserve">Chile Santiago</w:t>
      </w:r>
      <w:r>
        <w:t xml:space="preserve"> </w:t>
      </w:r>
      <w:r>
        <w:t xml:space="preserve">serves as a critical laboratory for these changes. As the capital region houses a dense concentration of schools ranging from prestigious private institutions to under-resourced municipal schools in sectors like La Cisterna or San Miguel, the challenges faced by educators are multifaceted. The modern Teacher Secondary is no longer merely a transmitter of knowledge but has evolved into a facilitator, mentor, and social agent responsible for addressing both academic gaps and psychosocial vulnerabilities.</w:t>
      </w:r>
    </w:p>
    <w:bookmarkEnd w:id="20"/>
    <w:bookmarkStart w:id="22" w:name="context"/>
    <w:bookmarkStart w:id="21" w:name="X49491f9da9efcdaa50687d04e7e727054f614f3"/>
    <w:p>
      <w:pPr>
        <w:pStyle w:val="Heading2"/>
      </w:pPr>
      <w:r>
        <w:t xml:space="preserve">2. Historical Context: The Shift in Professional Identity</w:t>
      </w:r>
    </w:p>
    <w:p>
      <w:pPr>
        <w:pStyle w:val="FirstParagraph"/>
      </w:pPr>
      <w:r>
        <w:t xml:space="preserve">To understand the current state of the Teacher Secondary, one must examine the legislative framework that defines their role. The passage of Law 20.403 in 2011 was a watershed moment for education in Chile. This law abolished tuition caps and fee-free access (Free Education) for lower-income students, but more importantly for our case study, it initiated a rigorous process of accreditation and professionalization.</w:t>
      </w:r>
    </w:p>
    <w:p>
      <w:pPr>
        <w:pStyle w:val="BodyText"/>
      </w:pPr>
      <w:r>
        <w:t xml:space="preserve">Previously, the role of the Teacher Secondary was often viewed through an academic lens—focusing heavily on subject matter expertise in disciplines such as Mathematics or History. However, the integration of Chile into international assessments like PISA exposed significant gaps in pedagogical effectiveness. Consequently, the Ministry of Education began to emphasize that a</w:t>
      </w:r>
      <w:r>
        <w:t xml:space="preserve"> </w:t>
      </w:r>
      <w:r>
        <w:rPr>
          <w:bCs/>
          <w:b/>
        </w:rPr>
        <w:t xml:space="preserve">Teacher Secondary</w:t>
      </w:r>
      <w:r>
        <w:t xml:space="preserve"> </w:t>
      </w:r>
      <w:r>
        <w:t xml:space="preserve">must possess specific pedagogical competencies that go beyond content knowledge.</w:t>
      </w:r>
    </w:p>
    <w:p>
      <w:pPr>
        <w:pStyle w:val="BodyText"/>
      </w:pPr>
      <w:r>
        <w:t xml:space="preserve">In</w:t>
      </w:r>
      <w:r>
        <w:t xml:space="preserve"> </w:t>
      </w:r>
      <w:r>
        <w:rPr>
          <w:bCs/>
          <w:b/>
        </w:rPr>
        <w:t xml:space="preserve">Chile Santiago</w:t>
      </w:r>
      <w:r>
        <w:t xml:space="preserve">, this shift has been particularly visible. The region’s schools are subject to intense scrutiny from the Superintendency of Education. As a result, school leaders and policymakers have demanded that Teacher Secondary professionals demonstrate not only their mastery of secondary-level subjects but also their ability to manage diverse classrooms, incorporate technology, and foster inclusive environments.</w:t>
      </w:r>
    </w:p>
    <w:bookmarkEnd w:id="21"/>
    <w:bookmarkEnd w:id="22"/>
    <w:bookmarkStart w:id="27" w:name="challenges"/>
    <w:bookmarkStart w:id="26" w:name="Xc6f1698b9235d1c2e27e6cbcaacfef1d1084ee9"/>
    <w:p>
      <w:pPr>
        <w:pStyle w:val="Heading2"/>
      </w:pPr>
      <w:r>
        <w:t xml:space="preserve">3. Key Challenges Facing the Teacher Secondary</w:t>
      </w:r>
    </w:p>
    <w:p>
      <w:pPr>
        <w:pStyle w:val="FirstParagraph"/>
      </w:pPr>
      <w:r>
        <w:t xml:space="preserve">The modern Teacher Secondary in Santiago faces a triad of interconnected challenges: professionalization pressure, social inequality, and technological integration.</w:t>
      </w:r>
    </w:p>
    <w:bookmarkStart w:id="23" w:name="a.-the-pressure-of-professionalization"/>
    <w:p>
      <w:pPr>
        <w:pStyle w:val="Heading3"/>
      </w:pPr>
      <w:r>
        <w:t xml:space="preserve">A. The Pressure of Professionalization</w:t>
      </w:r>
    </w:p>
    <w:p>
      <w:pPr>
        <w:pStyle w:val="FirstParagraph"/>
      </w:pPr>
      <w:r>
        <w:t xml:space="preserve">The establishment of the Teaching Career (Carrera Docente) created incentives for continuous development. For the Teacher Secondary, this means engaging in mandatory professional development activities. While this aims to elevate standards, it has also been criticized for adding bureaucratic burdens that distract from classroom teaching. Many educators in Santiago report feeling caught between the demand to improve test scores and the need to support students' holistic well-being.</w:t>
      </w:r>
    </w:p>
    <w:bookmarkEnd w:id="23"/>
    <w:bookmarkStart w:id="24" w:name="b.-socioeconomic-disparity"/>
    <w:p>
      <w:pPr>
        <w:pStyle w:val="Heading3"/>
      </w:pPr>
      <w:r>
        <w:t xml:space="preserve">B. Socioeconomic Disparity</w:t>
      </w:r>
    </w:p>
    <w:p>
      <w:pPr>
        <w:pStyle w:val="FirstParagraph"/>
      </w:pPr>
      <w:r>
        <w:rPr>
          <w:bCs/>
          <w:b/>
        </w:rPr>
        <w:t xml:space="preserve">Chile Santiago</w:t>
      </w:r>
      <w:r>
        <w:t xml:space="preserve"> </w:t>
      </w:r>
      <w:r>
        <w:t xml:space="preserve">is marked by stark spatial segregation. A Teacher Secondary working in a high-socioeconomic sector school (Sector Alto) faces different challenges than one in the Metropolitan Communes with lower indices (Indice de Pobreza). In poorer communes, Teacher Secondary professionals often act as social workers, addressing issues such as food insecurity, violence, and family instability. This "socialization" of the teaching role adds layers of complexity to their primary academic duties.</w:t>
      </w:r>
    </w:p>
    <w:bookmarkEnd w:id="24"/>
    <w:bookmarkStart w:id="25" w:name="c.-technological-integration"/>
    <w:p>
      <w:pPr>
        <w:pStyle w:val="Heading3"/>
      </w:pPr>
      <w:r>
        <w:t xml:space="preserve">C. Technological Integration</w:t>
      </w:r>
    </w:p>
    <w:p>
      <w:pPr>
        <w:pStyle w:val="FirstParagraph"/>
      </w:pPr>
      <w:r>
        <w:t xml:space="preserve">The post-pandemic era has cemented digital literacy as a core competency for the Teacher Secondary. In Santiago, while infrastructure has improved, there remains a digital divide in how teachers utilize technology. The challenge is no longer just accessing devices but pedagogically integrating them to enhance critical thinking rather than mere information retrieval.</w:t>
      </w:r>
    </w:p>
    <w:bookmarkEnd w:id="25"/>
    <w:bookmarkEnd w:id="26"/>
    <w:bookmarkEnd w:id="27"/>
    <w:bookmarkStart w:id="29" w:name="scenario"/>
    <w:bookmarkStart w:id="28" w:name="Xd1eec91e47f717f9d5842649c4ca5b1a320518a"/>
    <w:p>
      <w:pPr>
        <w:pStyle w:val="Heading2"/>
      </w:pPr>
      <w:r>
        <w:t xml:space="preserve">4. Case Scenario: Integration of a New Teacher Secondary</w:t>
      </w:r>
    </w:p>
    <w:p>
      <w:pPr>
        <w:pStyle w:val="FirstParagraph"/>
      </w:pPr>
      <w:r>
        <w:t xml:space="preserve">To illustrate these dynamics, consider the case of "Elena," a newly appointed Teacher Secondary in Municipal School X in the commune of Puente Alto, part of Greater Santiago.</w:t>
      </w:r>
    </w:p>
    <w:p>
      <w:pPr>
        <w:numPr>
          <w:ilvl w:val="0"/>
          <w:numId w:val="1001"/>
        </w:numPr>
        <w:pStyle w:val="Compact"/>
      </w:pPr>
      <w:r>
        <w:rPr>
          <w:bCs/>
          <w:b/>
        </w:rPr>
        <w:t xml:space="preserve">Context:</w:t>
      </w:r>
      <w:r>
        <w:t xml:space="preserve"> </w:t>
      </w:r>
      <w:r>
        <w:t xml:space="preserve">Elena teaches History and Citizenship to 10th-grade students. The school serves a population from working-class backgrounds, many of whom face economic precarity.</w:t>
      </w:r>
    </w:p>
    <w:p>
      <w:pPr>
        <w:numPr>
          <w:ilvl w:val="0"/>
          <w:numId w:val="1001"/>
        </w:numPr>
        <w:pStyle w:val="Compact"/>
      </w:pPr>
      <w:r>
        <w:rPr>
          <w:bCs/>
          <w:b/>
        </w:rPr>
        <w:t xml:space="preserve">The Challenge:</w:t>
      </w:r>
    </w:p>
    <w:p>
      <w:pPr>
        <w:numPr>
          <w:ilvl w:val="0"/>
          <w:numId w:val="1000"/>
        </w:numPr>
        <w:pStyle w:val="Compact"/>
      </w:pPr>
      <w:r>
        <w:t xml:space="preserve">Elena observes that her students struggle with abstract historical concepts because they feel disconnected from the curriculum. Furthermore, several students exhibit signs of anxiety due to family instability.</w:t>
      </w:r>
    </w:p>
    <w:p>
      <w:pPr>
        <w:numPr>
          <w:ilvl w:val="0"/>
          <w:numId w:val="1001"/>
        </w:numPr>
        <w:pStyle w:val="Compact"/>
      </w:pPr>
      <w:r>
        <w:rPr>
          <w:bCs/>
          <w:b/>
        </w:rPr>
        <w:t xml:space="preserve">Action Taken:</w:t>
      </w:r>
    </w:p>
    <w:p>
      <w:pPr>
        <w:numPr>
          <w:ilvl w:val="0"/>
          <w:numId w:val="1000"/>
        </w:numPr>
        <w:pStyle w:val="Compact"/>
      </w:pPr>
      <w:r>
        <w:t xml:space="preserve">Influenced by the new Teacher Secondary training standards, Elena shifts her pedagogy. She implements project-based learning (ABP) where students research local community history, connecting academic content to their lived reality in Santiago. She also collaborates with the school’s social support team to identify at-risk students.</w:t>
      </w:r>
    </w:p>
    <w:p>
      <w:pPr>
        <w:numPr>
          <w:ilvl w:val="0"/>
          <w:numId w:val="1001"/>
        </w:numPr>
        <w:pStyle w:val="Compact"/>
      </w:pPr>
      <w:r>
        <w:rPr>
          <w:bCs/>
          <w:b/>
        </w:rPr>
        <w:t xml:space="preserve">Outcome:</w:t>
      </w:r>
    </w:p>
    <w:p>
      <w:pPr>
        <w:numPr>
          <w:ilvl w:val="0"/>
          <w:numId w:val="1000"/>
        </w:numPr>
        <w:pStyle w:val="Compact"/>
      </w:pPr>
      <w:r>
        <w:t xml:space="preserve">While test scores showed modest improvement, student engagement and attendance rates increased significantly. Elena’s role expanded from a history instructor to a community connector, reflecting the evolving expectations of the Teacher Secondary profession in Chile.</w:t>
      </w:r>
    </w:p>
    <w:bookmarkEnd w:id="28"/>
    <w:bookmarkEnd w:id="29"/>
    <w:bookmarkStart w:id="31" w:name="recommendations"/>
    <w:bookmarkStart w:id="30" w:name="strategic-recommendations"/>
    <w:p>
      <w:pPr>
        <w:pStyle w:val="Heading2"/>
      </w:pPr>
      <w:r>
        <w:t xml:space="preserve">5. Strategic Recommendations</w:t>
      </w:r>
    </w:p>
    <w:p>
      <w:pPr>
        <w:pStyle w:val="FirstParagraph"/>
      </w:pPr>
      <w:r>
        <w:t xml:space="preserve">Based on the analysis of the Teacher Secondary role within the context of</w:t>
      </w:r>
      <w:r>
        <w:t xml:space="preserve"> </w:t>
      </w:r>
      <w:r>
        <w:rPr>
          <w:bCs/>
          <w:b/>
        </w:rPr>
        <w:t xml:space="preserve">Chile Santiago</w:t>
      </w:r>
      <w:r>
        <w:t xml:space="preserve">, the following recommendations are proposed for policymakers, university training programs, and school administrators:</w:t>
      </w:r>
    </w:p>
    <w:p>
      <w:pPr>
        <w:numPr>
          <w:ilvl w:val="0"/>
          <w:numId w:val="1002"/>
        </w:numPr>
        <w:pStyle w:val="Compact"/>
      </w:pPr>
      <w:r>
        <w:rPr>
          <w:bCs/>
          <w:b/>
        </w:rPr>
        <w:t xml:space="preserve">Redefine Professional Development:</w:t>
      </w:r>
    </w:p>
    <w:p>
      <w:pPr>
        <w:numPr>
          <w:ilvl w:val="0"/>
          <w:numId w:val="1002"/>
        </w:numPr>
        <w:pStyle w:val="Compact"/>
      </w:pPr>
      <w:r>
        <w:rPr>
          <w:bCs/>
          <w:b/>
        </w:rPr>
        <w:t xml:space="preserve">Strengthen Intersectoral Collaboration:</w:t>
      </w:r>
      <w:r>
        <w:t xml:space="preserve"> </w:t>
      </w:r>
      <w:r>
        <w:t xml:space="preserve">Schools must formalize partnerships with local health and social services. The Teacher Secondary should be supported by a network that alleviates the burden of non-academic student needs.</w:t>
      </w:r>
    </w:p>
    <w:p>
      <w:pPr>
        <w:numPr>
          <w:ilvl w:val="0"/>
          <w:numId w:val="1002"/>
        </w:numPr>
        <w:pStyle w:val="Compact"/>
      </w:pPr>
      <w:r>
        <w:rPr>
          <w:bCs/>
          <w:b/>
        </w:rPr>
        <w:t xml:space="preserve">Evaluate Beyond Metrics:</w:t>
      </w:r>
    </w:p>
    <w:p>
      <w:pPr>
        <w:numPr>
          <w:ilvl w:val="0"/>
          <w:numId w:val="1000"/>
        </w:numPr>
        <w:pStyle w:val="Compact"/>
      </w:pPr>
      <w:r>
        <w:t xml:space="preserve">The current evaluation systems often rely heavily on standardized tests. A more holistic framework is needed to assess the social and civic impact of the Teacher Secondary, particularly in vulnerable communities.</w:t>
      </w:r>
    </w:p>
    <w:p>
      <w:pPr>
        <w:numPr>
          <w:ilvl w:val="0"/>
          <w:numId w:val="1002"/>
        </w:numPr>
        <w:pStyle w:val="Compact"/>
      </w:pPr>
      <w:r>
        <w:rPr>
          <w:bCs/>
          <w:b/>
        </w:rPr>
        <w:t xml:space="preserve">Digital Equity Training:</w:t>
      </w:r>
      <w:r>
        <w:t xml:space="preserve"> </w:t>
      </w:r>
      <w:r>
        <w:t xml:space="preserve">Universities preparing new Teacher Secondary candidates must prioritize digital pedagogy that is accessible and adaptable, ensuring graduates are ready for the technological realities of Santiago’s schools.</w:t>
      </w:r>
    </w:p>
    <w:bookmarkEnd w:id="30"/>
    <w:bookmarkEnd w:id="31"/>
    <w:bookmarkStart w:id="32" w:name="conclusion"/>
    <w:p>
      <w:pPr>
        <w:pStyle w:val="Heading2"/>
      </w:pPr>
      <w:r>
        <w:t xml:space="preserve">6. Conclusion</w:t>
      </w:r>
    </w:p>
    <w:p>
      <w:pPr>
        <w:pStyle w:val="FirstParagraph"/>
      </w:pPr>
      <w:r>
        <w:t xml:space="preserve">The evolution of the Teacher Secondary in Chile is a testament to the country’s ongoing effort to balance quality with equity. In</w:t>
      </w:r>
      <w:r>
        <w:t xml:space="preserve"> </w:t>
      </w:r>
      <w:r>
        <w:rPr>
          <w:bCs/>
          <w:b/>
        </w:rPr>
        <w:t xml:space="preserve">Chile Santiago</w:t>
      </w:r>
      <w:r>
        <w:t xml:space="preserve">, this transformation is most acute due to the region’s diversity and central role in national policy. The Teacher Secondary of today is a complex professional who must navigate academic rigor, social responsibility, and technological change.</w:t>
      </w:r>
    </w:p>
    <w:p>
      <w:pPr>
        <w:pStyle w:val="BodyText"/>
      </w:pPr>
      <w:r>
        <w:t xml:space="preserve">As Chile continues to refine its education system, supporting the Teacher Secondary requires more than just legislative mandates; it demands a cultural shift within schools that values their multifaceted contributions. By investing in the professional growth and well-being of these educators,</w:t>
      </w:r>
      <w:r>
        <w:t xml:space="preserve"> </w:t>
      </w:r>
      <w:r>
        <w:rPr>
          <w:bCs/>
          <w:b/>
        </w:rPr>
        <w:t xml:space="preserve">Chile Santiago</w:t>
      </w:r>
      <w:r>
        <w:t xml:space="preserve"> </w:t>
      </w:r>
      <w:r>
        <w:t xml:space="preserve">can foster an educational environment that is not only academically robust but also socially just.</w:t>
      </w:r>
    </w:p>
    <w:p>
      <w:pPr>
        <w:pStyle w:val="BodyText"/>
      </w:pPr>
      <w:r>
        <w:t xml:space="preserve">This case study highlights that the future of education in Chile rests on empowering the Teacher Secondary to adapt, innovate, and lead within their communities. Only through such comprehensive support can the vision of a high-quality, inclusive secondary education be fully realized across all sectors of Santiago.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Teacher Secondary in Chile Santiago</dc:title>
  <dc:creator/>
  <dc:language>en</dc:language>
  <cp:keywords/>
  <dcterms:created xsi:type="dcterms:W3CDTF">2026-07-29T12:00:46Z</dcterms:created>
  <dcterms:modified xsi:type="dcterms:W3CDTF">2026-07-29T12:00:46Z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