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Beijing</w:t>
      </w:r>
    </w:p>
    <w:bookmarkStart w:id="34" w:name="X23af05a274a0fa5849e93ca19254882dc70e11d"/>
    <w:p>
      <w:pPr>
        <w:pStyle w:val="Heading1"/>
      </w:pPr>
      <w:r>
        <w:t xml:space="preserve">Case Study: The Evolution and Impact of Teacher Secondary Education in China Beijing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 Analysis</w:t>
      </w:r>
      <w:r>
        <w:br/>
      </w:r>
      <w:r>
        <w:rPr>
          <w:bCs/>
          <w:b/>
        </w:rPr>
        <w:t xml:space="preserve">Sector:</w:t>
      </w:r>
      <w:r>
        <w:t xml:space="preserve"> </w:t>
      </w:r>
      <w:r>
        <w:t xml:space="preserve">Higher Education &amp; Pedagogy</w:t>
      </w:r>
    </w:p>
    <w:bookmarkStart w:id="20" w:name="executive-summary"/>
    <w:p>
      <w:pPr>
        <w:pStyle w:val="Heading2"/>
      </w:pPr>
      <w:r>
        <w:t xml:space="preserve">Executive Summary</w:t>
      </w:r>
    </w:p>
    <w:p>
      <w:pPr>
        <w:pStyle w:val="FirstParagraph"/>
      </w:pPr>
      <w:r>
        <w:t xml:space="preserve">This case study explores the intricate landscape of</w:t>
      </w:r>
      <w:r>
        <w:t xml:space="preserve"> </w:t>
      </w:r>
      <w:r>
        <w:rPr>
          <w:iCs/>
          <w:i/>
        </w:rPr>
        <w:t xml:space="preserve">Teacher Secondary</w:t>
      </w:r>
    </w:p>
    <w:bookmarkEnd w:id="20"/>
    <w:bookmarkStart w:id="21" w:name="Xfe6535095e920238570f4d182969e5fc933dae5"/>
    <w:p>
      <w:pPr>
        <w:pStyle w:val="Heading2"/>
      </w:pPr>
      <w:r>
        <w:t xml:space="preserve">1. Introduction: The Context of China Beijing</w:t>
      </w:r>
    </w:p>
    <w:p>
      <w:pPr>
        <w:pStyle w:val="FirstParagraph"/>
      </w:pPr>
      <w:r>
        <w:rPr>
          <w:bCs/>
          <w:b/>
        </w:rPr>
        <w:t xml:space="preserve">China Beijing</w:t>
      </w:r>
      <w:r>
        <w:t xml:space="preserve">, as the political and cultural heart of the nation, hosts a dense concentration of elite educational institutions. From Peking University to Beijing Normal University, the city is synonymous with academic excellence. However, this prestige comes with immense pressure. The local education system in Beijing is characterized by high competition, rigorous standards for student performance in science and mathematics, and an increasing emphasis on holistic development (suzhi jiaoyu). Within this context, the preparation of secondary teachers—those who instruct students aged 12 to 18—is not merely a job training process but a critical societal mechanism.</w:t>
      </w:r>
    </w:p>
    <w:p>
      <w:pPr>
        <w:pStyle w:val="BodyText"/>
      </w:pPr>
      <w:r>
        <w:t xml:space="preserve">The demand for high-quality</w:t>
      </w:r>
      <w:r>
        <w:t xml:space="preserve"> </w:t>
      </w:r>
      <w:r>
        <w:rPr>
          <w:iCs/>
          <w:i/>
        </w:rPr>
        <w:t xml:space="preserve">Teacher Secondary</w:t>
      </w:r>
      <w:r>
        <w:t xml:space="preserve"> </w:t>
      </w:r>
      <w:r>
        <w:t xml:space="preserve">education in Beijing is driven by demographic shifts and policy changes. With the relaxation of the one-child policy and subsequent educational reforms, there is a growing need for educators who can handle diverse learning needs, integrate technology seamlessly, and foster critical thinking rather than rote memorization.</w:t>
      </w:r>
    </w:p>
    <w:bookmarkEnd w:id="21"/>
    <w:bookmarkStart w:id="24" w:name="X98ca4809086869b5d9be991317e90866289cfb2"/>
    <w:p>
      <w:pPr>
        <w:pStyle w:val="Heading2"/>
      </w:pPr>
      <w:r>
        <w:t xml:space="preserve">2. Structural Framework of Teacher Secondary Training</w:t>
      </w:r>
    </w:p>
    <w:p>
      <w:pPr>
        <w:pStyle w:val="FirstParagraph"/>
      </w:pPr>
      <w:r>
        <w:t xml:space="preserve">In Beijing, the pathway to becoming a secondary teacher has undergone significant standardization. Historically, normal universities (teacher training colleges) were the primary conduits for this education. Today, the system is bifurcated into two main streams: specialized normal universities and comprehensive universities with education faculties.</w:t>
      </w:r>
    </w:p>
    <w:bookmarkStart w:id="22" w:name="the-role-of-beijing-normal-university"/>
    <w:p>
      <w:pPr>
        <w:pStyle w:val="Heading3"/>
      </w:pPr>
      <w:r>
        <w:t xml:space="preserve">2.1 The Role of Beijing Normal University</w:t>
      </w:r>
    </w:p>
    <w:p>
      <w:pPr>
        <w:pStyle w:val="FirstParagraph"/>
      </w:pPr>
      <w:r>
        <w:rPr>
          <w:bCs/>
          <w:b/>
        </w:rPr>
        <w:t xml:space="preserve">China Beijing</w:t>
      </w:r>
      <w:r>
        <w:t xml:space="preserve">'s most prominent institution, Beijing Normal University (BNU), plays a pivotal role in shaping the curriculum for</w:t>
      </w:r>
      <w:r>
        <w:t xml:space="preserve"> </w:t>
      </w:r>
      <w:r>
        <w:rPr>
          <w:iCs/>
          <w:i/>
        </w:rPr>
        <w:t xml:space="preserve">Teacher Secondary</w:t>
      </w:r>
      <w:r>
        <w:t xml:space="preserve"> </w:t>
      </w:r>
      <w:r>
        <w:t xml:space="preserve">programs nationwide, not just locally. BNU sets the benchmark for pedagogical theory and practice. Its secondary teacher training programs require a rigorous four-year undergraduate degree followed by mandatory internships in local middle and high schools. This apprenticeship model ensures that candidates gain practical experience before entering the classroom.</w:t>
      </w:r>
    </w:p>
    <w:bookmarkEnd w:id="22"/>
    <w:bookmarkStart w:id="23" w:name="certification-and-competition"/>
    <w:p>
      <w:pPr>
        <w:pStyle w:val="Heading3"/>
      </w:pPr>
      <w:r>
        <w:t xml:space="preserve">2.2 Certification and Competition</w:t>
      </w:r>
    </w:p>
    <w:p>
      <w:pPr>
        <w:pStyle w:val="FirstParagraph"/>
      </w:pPr>
      <w:r>
        <w:t xml:space="preserve">The barrier to entry for secondary teachers in Beijing is exceptionally high. Prospective educators must pass a national teacher certification exam, which includes written tests on pedagogy and subject matter expertise, as well as a practical teaching demonstration. In the competitive landscape of</w:t>
      </w:r>
      <w:r>
        <w:t xml:space="preserve"> </w:t>
      </w:r>
      <w:r>
        <w:rPr>
          <w:bCs/>
          <w:b/>
        </w:rPr>
        <w:t xml:space="preserve">China Beijing</w:t>
      </w:r>
      <w:r>
        <w:t xml:space="preserve">, many school districts require candidates to hold Master’s degrees from top-tier universities. This has elevated the status of the profession but has also created challenges regarding workload and burnout.</w:t>
      </w:r>
    </w:p>
    <w:bookmarkEnd w:id="23"/>
    <w:bookmarkEnd w:id="24"/>
    <w:bookmarkStart w:id="26" w:name="Xe31b1e1d15765b3fa96571658d8e3e01aad06a3"/>
    <w:p>
      <w:pPr>
        <w:pStyle w:val="Heading2"/>
      </w:pPr>
      <w:r>
        <w:t xml:space="preserve">3. Pedagogical Shifts: From Rote Learning to Competency-Based Education</w:t>
      </w:r>
    </w:p>
    <w:p>
      <w:pPr>
        <w:pStyle w:val="FirstParagraph"/>
      </w:pPr>
      <w:r>
        <w:t xml:space="preserve">A critical aspect of this case study is the shift in teaching methodologies within</w:t>
      </w:r>
      <w:r>
        <w:t xml:space="preserve"> </w:t>
      </w:r>
      <w:r>
        <w:rPr>
          <w:iCs/>
          <w:i/>
        </w:rPr>
        <w:t xml:space="preserve">Teacher Secondary</w:t>
      </w:r>
      <w:r>
        <w:t xml:space="preserve"> </w:t>
      </w:r>
      <w:r>
        <w:t xml:space="preserve">education. Traditionally, Chinese secondary education emphasized memorization and exam preparation for the Zhongkao (High School Entrance Exam) and Gaokao (National College Entrance Exam). However, recent reforms under the Ministry of Education have pushed for a more competency-based approach.</w:t>
      </w:r>
    </w:p>
    <w:bookmarkStart w:id="25" w:name="key-change-core-competencies"/>
    <w:p>
      <w:pPr>
        <w:pStyle w:val="Heading3"/>
      </w:pPr>
      <w:r>
        <w:t xml:space="preserve">Key Change: Core Competencies</w:t>
      </w:r>
    </w:p>
    <w:p>
      <w:pPr>
        <w:pStyle w:val="FirstParagraph"/>
      </w:pPr>
      <w:r>
        <w:rPr>
          <w:iCs/>
          <w:i/>
        </w:rPr>
        <w:t xml:space="preserve">Teacher Secondary</w:t>
      </w:r>
      <w:r>
        <w:t xml:space="preserve"> </w:t>
      </w:r>
      <w:r>
        <w:t xml:space="preserve">programs in Beijing now prioritize the development of students' "Core Competencies." These include cultural foundations, autonomous development, and social participation. Teachers are trained to facilitate inquiry-based learning, group projects, and interdisciplinary studies rather than lecturing exclusively. This requires a fundamental retraining of the teaching workforce.</w:t>
      </w:r>
    </w:p>
    <w:bookmarkEnd w:id="25"/>
    <w:bookmarkEnd w:id="26"/>
    <w:bookmarkStart w:id="27" w:name="X7f0159bbbf160c1887d88be4780f95680fa0071"/>
    <w:p>
      <w:pPr>
        <w:pStyle w:val="Heading2"/>
      </w:pPr>
      <w:r>
        <w:t xml:space="preserve">4. Technological Integration in Beijing Classrooms</w:t>
      </w:r>
    </w:p>
    <w:p>
      <w:pPr>
        <w:pStyle w:val="FirstParagraph"/>
      </w:pPr>
      <w:r>
        <w:rPr>
          <w:bCs/>
          <w:b/>
        </w:rPr>
        <w:t xml:space="preserve">China Beijing</w:t>
      </w:r>
      <w:r>
        <w:t xml:space="preserve"> </w:t>
      </w:r>
      <w:r>
        <w:t xml:space="preserve">is at the forefront of EdTech adoption in China. The integration of artificial intelligence, big data, and online learning platforms into secondary education is profound. Consequently,</w:t>
      </w:r>
      <w:r>
        <w:t xml:space="preserve"> </w:t>
      </w:r>
      <w:r>
        <w:rPr>
          <w:iCs/>
          <w:i/>
        </w:rPr>
        <w:t xml:space="preserve">Teacher Secondary</w:t>
      </w:r>
      <w:r>
        <w:t xml:space="preserve"> </w:t>
      </w:r>
      <w:r>
        <w:t xml:space="preserve">training programs have had to incorporate digital literacy modules.</w:t>
      </w:r>
    </w:p>
    <w:p>
      <w:pPr>
        <w:numPr>
          <w:ilvl w:val="0"/>
          <w:numId w:val="1001"/>
        </w:numPr>
        <w:pStyle w:val="Compact"/>
      </w:pPr>
      <w:r>
        <w:rPr>
          <w:bCs/>
          <w:b/>
        </w:rPr>
        <w:t xml:space="preserve">Digital Classrooms:</w:t>
      </w:r>
      <w:r>
        <w:t xml:space="preserve"> </w:t>
      </w:r>
      <w:r>
        <w:t xml:space="preserve">Teachers are trained to use interactive whiteboards and tablet-based learning management systems that provide real-time feedback on student performance.</w:t>
      </w:r>
    </w:p>
    <w:p>
      <w:pPr>
        <w:numPr>
          <w:ilvl w:val="0"/>
          <w:numId w:val="1001"/>
        </w:numPr>
        <w:pStyle w:val="Compact"/>
      </w:pPr>
      <w:r>
        <w:t xml:space="preserve">Data-Driven Instruction:: Secondary teachers in Beijing utilize data analytics to identify individual student weaknesses. For instance, if a student struggles with geometry problems, the system can generate personalized practice sets.</w:t>
      </w:r>
    </w:p>
    <w:p>
      <w:pPr>
        <w:numPr>
          <w:ilvl w:val="0"/>
          <w:numId w:val="1001"/>
        </w:numPr>
        <w:pStyle w:val="Compact"/>
      </w:pPr>
      <w:r>
        <w:rPr>
          <w:bCs/>
          <w:b/>
        </w:rPr>
        <w:t xml:space="preserve">Remote Collaboration:</w:t>
      </w:r>
      <w:r>
        <w:t xml:space="preserve">: Post-pandemic, hybrid teaching models have become standard. Teachers must be proficient in managing both physical and virtual classrooms simultaneously.</w:t>
      </w:r>
    </w:p>
    <w:bookmarkEnd w:id="27"/>
    <w:bookmarkStart w:id="30" w:name="challenges-and-ethical-considerations"/>
    <w:p>
      <w:pPr>
        <w:pStyle w:val="Heading2"/>
      </w:pPr>
      <w:r>
        <w:t xml:space="preserve">5. Challenges and Ethical Considerations</w:t>
      </w:r>
    </w:p>
    <w:p>
      <w:pPr>
        <w:pStyle w:val="FirstParagraph"/>
      </w:pPr>
      <w:r>
        <w:t xml:space="preserve">Despite advancements, the system faces significant hurdles. The intense pressure on secondary students in Beijing to perform academically places a heavy burden on teachers.</w:t>
      </w:r>
      <w:r>
        <w:t xml:space="preserve"> </w:t>
      </w:r>
      <w:r>
        <w:rPr>
          <w:iCs/>
          <w:i/>
        </w:rPr>
        <w:t xml:space="preserve">Teacher Secondary</w:t>
      </w:r>
      <w:r>
        <w:t xml:space="preserve"> </w:t>
      </w:r>
      <w:r>
        <w:t xml:space="preserve">programs often struggle to adequately address mental health support for both educators and their students.</w:t>
      </w:r>
    </w:p>
    <w:bookmarkStart w:id="28" w:name="workload-and-well-being"/>
    <w:p>
      <w:pPr>
        <w:pStyle w:val="Heading3"/>
      </w:pPr>
      <w:r>
        <w:t xml:space="preserve">5.1 Workload and Well-being</w:t>
      </w:r>
    </w:p>
    <w:p>
      <w:pPr>
        <w:pStyle w:val="FirstParagraph"/>
      </w:pPr>
      <w:r>
        <w:t xml:space="preserve">In many schools across Beijing, secondary teachers work long hours, extending beyond standard classroom time for grading, parent meetings, and administrative duties. This has led to high turnover rates among early-career educators. Training programs are beginning to include modules on stress management and work-life balance, but implementation varies.</w:t>
      </w:r>
    </w:p>
    <w:bookmarkEnd w:id="28"/>
    <w:bookmarkStart w:id="29" w:name="educational-equity"/>
    <w:p>
      <w:pPr>
        <w:pStyle w:val="Heading3"/>
      </w:pPr>
      <w:r>
        <w:t xml:space="preserve">5.2 Educational Equity</w:t>
      </w:r>
    </w:p>
    <w:p>
      <w:pPr>
        <w:pStyle w:val="FirstParagraph"/>
      </w:pPr>
      <w:r>
        <w:t xml:space="preserve">A stark contrast exists between central Beijing schools and those in outlying districts or suburban areas. While elite schools attract the most qualified graduates from top normal universities, less privileged areas face teacher shortages. Policy initiatives are attempting to redistribute resources, but the gap remains a significant concern for policymakers in</w:t>
      </w:r>
      <w:r>
        <w:t xml:space="preserve"> </w:t>
      </w:r>
      <w:r>
        <w:rPr>
          <w:bCs/>
          <w:b/>
        </w:rPr>
        <w:t xml:space="preserve">China Beijing</w:t>
      </w:r>
      <w:r>
        <w:t xml:space="preserve">.</w:t>
      </w:r>
    </w:p>
    <w:bookmarkEnd w:id="29"/>
    <w:bookmarkEnd w:id="30"/>
    <w:bookmarkStart w:id="31" w:name="Xd74224ce7dc2487f966477850dd4b6892889649"/>
    <w:p>
      <w:pPr>
        <w:pStyle w:val="Heading2"/>
      </w:pPr>
      <w:r>
        <w:t xml:space="preserve">6. Case Example: The "Shuang Jian" Policy Impact</w:t>
      </w:r>
    </w:p>
    <w:p>
      <w:pPr>
        <w:pStyle w:val="FirstParagraph"/>
      </w:pPr>
      <w:r>
        <w:t xml:space="preserve">The implementation of the "Double Reduction" policy in China has directly influenced the role of secondary teachers. Aimed at reducing homework burdens and off-campus tutoring, this policy shifted more responsibility onto school-based education. In Beijing, secondary teachers are now expected to provide high-quality after-school services and enriched extracurricular activities.</w:t>
      </w:r>
      <w:r>
        <w:t xml:space="preserve"> </w:t>
      </w:r>
      <w:r>
        <w:rPr>
          <w:iCs/>
          <w:i/>
        </w:rPr>
        <w:t xml:space="preserve">Teacher Secondary</w:t>
      </w:r>
      <w:r>
        <w:t xml:space="preserve"> </w:t>
      </w:r>
      <w:r>
        <w:t xml:space="preserve">curricula have been adjusted to train educators in designing engaging, non-academic focused activities such as arts, sports, and coding clubs.</w:t>
      </w:r>
    </w:p>
    <w:bookmarkEnd w:id="31"/>
    <w:bookmarkStart w:id="32" w:name="conclusion"/>
    <w:p>
      <w:pPr>
        <w:pStyle w:val="Heading2"/>
      </w:pPr>
      <w:r>
        <w:t xml:space="preserve">7. Conclusion</w:t>
      </w:r>
    </w:p>
    <w:p>
      <w:pPr>
        <w:pStyle w:val="FirstParagraph"/>
      </w:pPr>
      <w:r>
        <w:t xml:space="preserve">The landscape of education in Beijing is evolving rapidly. The preparation of secondary teachers (</w:t>
      </w:r>
      <w:r>
        <w:rPr>
          <w:iCs/>
          <w:i/>
        </w:rPr>
        <w:t xml:space="preserve">Teacher Secondary</w:t>
      </w:r>
      <w:r>
        <w:t xml:space="preserve">) is no longer just about subject knowledge but involves mastering digital tools, psychological support techniques, and innovative pedagogical strategies. For educators in</w:t>
      </w:r>
      <w:r>
        <w:t xml:space="preserve"> </w:t>
      </w:r>
      <w:r>
        <w:rPr>
          <w:bCs/>
          <w:b/>
        </w:rPr>
        <w:t xml:space="preserve">China Beijing</w:t>
      </w:r>
      <w:r>
        <w:t xml:space="preserve">, the mandate is clear: produce well-rounded citizens capable of thriving in a globalized economy.</w:t>
      </w:r>
    </w:p>
    <w:p>
      <w:pPr>
        <w:pStyle w:val="BodyText"/>
      </w:pPr>
      <w:r>
        <w:t xml:space="preserve">This case study highlights that while challenges remain regarding equity and workload, the structural reforms and technological integrations underway position Beijing as a leader in secondary teacher education. Future research should focus on long-term outcomes of these new training models on student mental health and academic creativity.</w:t>
      </w:r>
    </w:p>
    <w:bookmarkEnd w:id="32"/>
    <w:bookmarkStart w:id="33" w:name="recommendations-for-stakeholders"/>
    <w:p>
      <w:pPr>
        <w:pStyle w:val="Heading2"/>
      </w:pPr>
      <w:r>
        <w:t xml:space="preserve">8. Recommendations for Stakeholders</w:t>
      </w:r>
    </w:p>
    <w:p>
      <w:pPr>
        <w:numPr>
          <w:ilvl w:val="0"/>
          <w:numId w:val="1002"/>
        </w:numPr>
        <w:pStyle w:val="Compact"/>
      </w:pPr>
      <w:r>
        <w:rPr>
          <w:bCs/>
          <w:b/>
        </w:rPr>
        <w:t xml:space="preserve">For Universities:</w:t>
      </w:r>
      <w:r>
        <w:t xml:space="preserve">: Enhance partnerships between normal universities and K-12 schools to create seamless mentorship pipelines.</w:t>
      </w:r>
    </w:p>
    <w:p>
      <w:pPr>
        <w:numPr>
          <w:ilvl w:val="0"/>
          <w:numId w:val="1002"/>
        </w:numPr>
        <w:pStyle w:val="Compact"/>
      </w:pPr>
      <w:r>
        <w:rPr>
          <w:bCs/>
          <w:b/>
        </w:rPr>
        <w:t xml:space="preserve">For Policymakers:</w:t>
      </w:r>
      <w:r>
        <w:t xml:space="preserve">: Invest in infrastructure for rural schools within Beijing to attract qualified teachers to underserved areas.</w:t>
      </w:r>
    </w:p>
    <w:p>
      <w:pPr>
        <w:numPr>
          <w:ilvl w:val="0"/>
          <w:numId w:val="1002"/>
        </w:numPr>
        <w:pStyle w:val="Compact"/>
      </w:pPr>
      <w:r>
        <w:rPr>
          <w:bCs/>
          <w:b/>
        </w:rPr>
        <w:t xml:space="preserve">For Schools:</w:t>
      </w:r>
      <w:r>
        <w:t xml:space="preserve">: Implement robust professional development programs focused on continuous learning and emotional intelligence training for staff.</w:t>
      </w:r>
    </w:p>
    <w:p>
      <w:pPr>
        <w:pStyle w:val="FirstParagraph"/>
      </w:pPr>
      <w:r>
        <w:rPr>
          <w:iCs/>
          <w:i/>
        </w:rPr>
        <w:t xml:space="preserve">This document serves as a comprehensive overview of the current state of secondary teacher education in Beijing, reflecting the complex interplay between tradition, modernization, and policy in one of the world's most influential educational hubs.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China Beijing</dc:title>
  <dc:creator/>
  <dc:language>en</dc:language>
  <cp:keywords/>
  <dcterms:created xsi:type="dcterms:W3CDTF">2026-07-29T07:34:53Z</dcterms:created>
  <dcterms:modified xsi:type="dcterms:W3CDTF">2026-07-29T07:34:53Z</dcterms:modified>
</cp:coreProperties>
</file>

<file path=docProps/custom.xml><?xml version="1.0" encoding="utf-8"?>
<Properties xmlns="http://schemas.openxmlformats.org/officeDocument/2006/custom-properties" xmlns:vt="http://schemas.openxmlformats.org/officeDocument/2006/docPropsVTypes"/>
</file>