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w:t>
      </w:r>
      <w:r>
        <w:t xml:space="preserve"> </w:t>
      </w:r>
      <w:r>
        <w:t xml:space="preserve">Strategic</w:t>
      </w:r>
      <w:r>
        <w:t xml:space="preserve"> </w:t>
      </w:r>
      <w:r>
        <w:t xml:space="preserve">Implementation</w:t>
      </w:r>
      <w:r>
        <w:t xml:space="preserve"> </w:t>
      </w:r>
      <w:r>
        <w:t xml:space="preserve">in</w:t>
      </w:r>
      <w:r>
        <w:t xml:space="preserve"> </w:t>
      </w:r>
      <w:r>
        <w:t xml:space="preserve">China</w:t>
      </w:r>
      <w:r>
        <w:t xml:space="preserve"> </w:t>
      </w:r>
      <w:r>
        <w:t xml:space="preserve">Guangzhou</w:t>
      </w:r>
    </w:p>
    <w:bookmarkStart w:id="30" w:name="Xf4afbaf1df1c0761e83073fbb7bf254cfb14f81"/>
    <w:p>
      <w:pPr>
        <w:pStyle w:val="Heading1"/>
      </w:pPr>
      <w:r>
        <w:t xml:space="preserve">Case Study: Teacher Secondary - Strategic Implementation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Guangzhou, Guangdong Province, People’s Republic of China</w:t>
      </w:r>
    </w:p>
    <w:bookmarkStart w:id="20" w:name="executive-summary"/>
    <w:p>
      <w:pPr>
        <w:pStyle w:val="Heading2"/>
      </w:pPr>
      <w:r>
        <w:t xml:space="preserve">Executive Summary</w:t>
      </w:r>
    </w:p>
    <w:p>
      <w:pPr>
        <w:pStyle w:val="FirstParagraph"/>
      </w:pPr>
      <w:r>
        <w:t xml:space="preserve">This case study analyzes the deployment, challenges, and outcomes of the "Teacher Secondary" educational framework within the metropolitan context of China Guangzhou. As one of Asia's most dynamic economic hubs and a critical node in international education exchanges Guangzhou presents a unique ecosystem for secondary-level pedagogical innovation. This document explores how the "Teacher Secondary" model integrates local cultural nuances with global teaching standards, addressing the specific needs of diverse student populations ranging from local elite academies to international schools catering to expatriate communities.</w:t>
      </w:r>
    </w:p>
    <w:bookmarkEnd w:id="20"/>
    <w:bookmarkStart w:id="21" w:name="Xb80b4819705fb36b084df4a8297b2771a6cc309"/>
    <w:p>
      <w:pPr>
        <w:pStyle w:val="Heading2"/>
      </w:pPr>
      <w:r>
        <w:t xml:space="preserve">1. Background and Context: The Guangzhou Landscape</w:t>
      </w:r>
    </w:p>
    <w:p>
      <w:pPr>
        <w:pStyle w:val="FirstParagraph"/>
      </w:pPr>
      <w:r>
        <w:t xml:space="preserve">Guangzhou has long served as China’s window to the world. Historically known for the Canton Fair and its bustling port activities, the city has evolved into a modern metropolis characterized by rapid urbanization, technological advancement, and a profound emphasis on educational excellence. In recent years Guangzhou has positioned itself not just as an industrial power but also as a center for talent acquisition and intellectual development.</w:t>
      </w:r>
    </w:p>
    <w:p>
      <w:pPr>
        <w:pStyle w:val="BodyText"/>
      </w:pPr>
      <w:r>
        <w:t xml:space="preserve">Within this vibrant environment the demand for high-quality secondary education has skyrocketed. Parents in Guangzhou are increasingly competitive regarding their children’s academic futures, seeking pathways that combine rigorous STEM (Science, Technology, Engineering, and Mathematics) foundations with creative critical thinking skills. Simultaneously the city attracts thousands of international businesses which brings a significant population of expatriates requiring accessible English-medium or bilingual secondary education. It is within this complex dual-demand structure that the "Teacher Secondary" initiative was conceived.</w:t>
      </w:r>
    </w:p>
    <w:bookmarkEnd w:id="21"/>
    <w:bookmarkStart w:id="22" w:name="defining-teacher-secondary"/>
    <w:p>
      <w:pPr>
        <w:pStyle w:val="Heading2"/>
      </w:pPr>
      <w:r>
        <w:t xml:space="preserve">2. Defining "Teacher Secondary"</w:t>
      </w:r>
    </w:p>
    <w:p>
      <w:pPr>
        <w:pStyle w:val="FirstParagraph"/>
      </w:pPr>
      <w:r>
        <w:t xml:space="preserve">The term "Teacher Secondary" in this context refers to a holistic professional development and instructional framework designed specifically for educators operating at the middle and high school levels. Unlike general teaching certification programs, "Teacher Secondary" emphasizes three core pillars:</w:t>
      </w:r>
    </w:p>
    <w:p>
      <w:pPr>
        <w:numPr>
          <w:ilvl w:val="0"/>
          <w:numId w:val="1001"/>
        </w:numPr>
        <w:pStyle w:val="Compact"/>
      </w:pPr>
      <w:r>
        <w:rPr>
          <w:bCs/>
          <w:b/>
        </w:rPr>
        <w:t xml:space="preserve">Pedagogical Agility:</w:t>
      </w:r>
      <w:r>
        <w:t xml:space="preserve"> </w:t>
      </w:r>
      <w:r>
        <w:t xml:space="preserve">The ability to switch between traditional rote-learning methods often expected by local parents and inquiry-based learning models preferred in international curricula.</w:t>
      </w:r>
    </w:p>
    <w:p>
      <w:pPr>
        <w:numPr>
          <w:ilvl w:val="0"/>
          <w:numId w:val="1001"/>
        </w:numPr>
        <w:pStyle w:val="Compact"/>
      </w:pPr>
      <w:r>
        <w:rPr>
          <w:bCs/>
          <w:b/>
        </w:rPr>
        <w:t xml:space="preserve">Cultural Mediation:</w:t>
      </w:r>
      <w:r>
        <w:t xml:space="preserve"> </w:t>
      </w:r>
      <w:r>
        <w:t xml:space="preserve">Teachers act as bridges between Western educational philosophies and Chinese Confucian values, respecting hierarchy while encouraging student autonomy.</w:t>
      </w:r>
    </w:p>
    <w:p>
      <w:pPr>
        <w:numPr>
          <w:ilvl w:val="0"/>
          <w:numId w:val="1001"/>
        </w:numPr>
        <w:pStyle w:val="Compact"/>
      </w:pPr>
      <w:r>
        <w:t xml:space="preserve">Leveraging Guangzhou’s status as a tech hub to integrate AI-driven personalized learning tools into the classroom.</w:t>
      </w:r>
    </w:p>
    <w:p>
      <w:pPr>
        <w:pStyle w:val="FirstParagraph"/>
      </w:pPr>
      <w:r>
        <w:t xml:space="preserve">The framework aims to produce educators who are not merely transmitters of knowledge but facilitators of global citizenship, capable navigating the nuanced socio-academic expectations of Guangzhou families.</w:t>
      </w:r>
    </w:p>
    <w:bookmarkEnd w:id="22"/>
    <w:bookmarkStart w:id="26" w:name="X190575e535247b8a27508606048e22e73ce3616"/>
    <w:p>
      <w:pPr>
        <w:pStyle w:val="Heading2"/>
      </w:pPr>
      <w:r>
        <w:t xml:space="preserve">3. Implementation Strategy in China Guangzhou</w:t>
      </w:r>
    </w:p>
    <w:p>
      <w:pPr>
        <w:pStyle w:val="FirstParagraph"/>
      </w:pPr>
      <w:r>
        <w:t xml:space="preserve">The rollout of the "Teacher Secondary" program in China Guangzhou was executed through a phased partnership with three major educational institutions: one public international school, one private bilingual academy, and one university-affiliated training center. The implementation followed these strategic steps:</w:t>
      </w:r>
    </w:p>
    <w:bookmarkStart w:id="23" w:name="recruitment-and-selection"/>
    <w:p>
      <w:pPr>
        <w:pStyle w:val="Heading3"/>
      </w:pPr>
      <w:r>
        <w:t xml:space="preserve">3.1 Recruitment and Selection</w:t>
      </w:r>
    </w:p>
    <w:p>
      <w:pPr>
        <w:pStyle w:val="FirstParagraph"/>
      </w:pPr>
      <w:r>
        <w:t xml:space="preserve">Talent acquisition focused on hiring educators with cross-cultural competency. Candidates were required to demonstrate not only subject matter expertise but also a deep understanding of the Chinese education system’s pressures, such as the Gaokao (National College Entrance Examination). In Guangzhou specifically, recruiters looked for candidates fluent in Cantonese or Mandarin to facilitate smoother communication with local stakeholders and parents.</w:t>
      </w:r>
    </w:p>
    <w:bookmarkEnd w:id="23"/>
    <w:bookmarkStart w:id="24" w:name="professional-development-workshops"/>
    <w:p>
      <w:pPr>
        <w:pStyle w:val="Heading3"/>
      </w:pPr>
      <w:r>
        <w:t xml:space="preserve">3.2 Professional Development Workshops</w:t>
      </w:r>
    </w:p>
    <w:p>
      <w:pPr>
        <w:pStyle w:val="FirstParagraph"/>
      </w:pPr>
      <w:r>
        <w:t xml:space="preserve">A series of intensive workshops were held in Tianhe District Guangzhou’s central business district. These sessions addressed common friction points, such as managing classroom behavior when shifting from a teacher-centered to student-centered model. Local psychologists and education experts were brought in to guide teachers on how to support students’ mental health amidst the high-pressure environment typical of Chinese secondary schools.</w:t>
      </w:r>
    </w:p>
    <w:bookmarkEnd w:id="24"/>
    <w:bookmarkStart w:id="25" w:name="community-engagement"/>
    <w:p>
      <w:pPr>
        <w:pStyle w:val="Heading3"/>
      </w:pPr>
      <w:r>
        <w:t xml:space="preserve">3.3 Community Engagement</w:t>
      </w:r>
    </w:p>
    <w:p>
      <w:pPr>
        <w:pStyle w:val="FirstParagraph"/>
      </w:pPr>
      <w:r>
        <w:t xml:space="preserve">A crucial component of the "Teacher Secondary" model in Guangzhou was engaging parents early on. Town hall meetings were organized to explain the benefits of inquiry-based learning, aiming to alleviate parental anxiety regarding traditional academic metrics. This transparency helped build trust between educators and families, a vital factor for long-term success in this region.</w:t>
      </w:r>
    </w:p>
    <w:bookmarkEnd w:id="25"/>
    <w:bookmarkEnd w:id="26"/>
    <w:bookmarkStart w:id="27" w:name="challenges-faced"/>
    <w:p>
      <w:pPr>
        <w:pStyle w:val="Heading2"/>
      </w:pPr>
      <w:r>
        <w:t xml:space="preserve">4. Challenges Faced</w:t>
      </w:r>
    </w:p>
    <w:p>
      <w:pPr>
        <w:pStyle w:val="FirstParagraph"/>
      </w:pPr>
      <w:r>
        <w:t xml:space="preserve">Despite careful planning several challenges emerged during the implementation of "Teacher Secondary" in China Guangzhou:</w:t>
      </w:r>
    </w:p>
    <w:p>
      <w:pPr>
        <w:numPr>
          <w:ilvl w:val="0"/>
          <w:numId w:val="1002"/>
        </w:numPr>
        <w:pStyle w:val="Compact"/>
      </w:pPr>
      <w:r>
        <w:rPr>
          <w:bCs/>
          <w:b/>
        </w:rPr>
        <w:t xml:space="preserve">Cultural Resistance:</w:t>
      </w:r>
    </w:p>
    <w:p>
      <w:pPr>
        <w:numPr>
          <w:ilvl w:val="0"/>
          <w:numId w:val="1002"/>
        </w:numPr>
        <w:pStyle w:val="Compact"/>
      </w:pPr>
      <w:r>
        <w:rPr>
          <w:bCs/>
          <w:b/>
        </w:rPr>
        <w:t xml:space="preserve">Diverse Student Needs:</w:t>
      </w:r>
    </w:p>
    <w:p>
      <w:pPr>
        <w:numPr>
          <w:ilvl w:val="0"/>
          <w:numId w:val="1002"/>
        </w:numPr>
        <w:pStyle w:val="Compact"/>
      </w:pPr>
      <w:r>
        <w:rPr>
          <w:bCs/>
          <w:b/>
        </w:rPr>
        <w:t xml:space="preserve">Bureaucratic Hurdles:</w:t>
      </w:r>
    </w:p>
    <w:bookmarkEnd w:id="27"/>
    <w:bookmarkStart w:id="28" w:name="outcomes-and-impact"/>
    <w:p>
      <w:pPr>
        <w:pStyle w:val="Heading2"/>
      </w:pPr>
      <w:r>
        <w:t xml:space="preserve">5. Outcomes and Impact</w:t>
      </w:r>
    </w:p>
    <w:p>
      <w:pPr>
        <w:pStyle w:val="FirstParagraph"/>
      </w:pPr>
      <w:r>
        <w:t xml:space="preserve">After two academic years the "Teacher Secondary" model demonstrated significant positive results in China Guangzhou:</w:t>
      </w:r>
    </w:p>
    <w:p>
      <w:pPr>
        <w:numPr>
          <w:ilvl w:val="0"/>
          <w:numId w:val="1003"/>
        </w:numPr>
        <w:pStyle w:val="Compact"/>
      </w:pPr>
      <w:r>
        <w:rPr>
          <w:bCs/>
          <w:b/>
        </w:rPr>
        <w:t xml:space="preserve">User Satisfaction:</w:t>
      </w:r>
    </w:p>
    <w:p>
      <w:pPr>
        <w:numPr>
          <w:ilvl w:val="0"/>
          <w:numId w:val="1003"/>
        </w:numPr>
        <w:pStyle w:val="Compact"/>
      </w:pPr>
      <w:r>
        <w:rPr>
          <w:bCs/>
          <w:b/>
        </w:rPr>
        <w:t xml:space="preserve">Academic Performance:</w:t>
      </w:r>
    </w:p>
    <w:p>
      <w:pPr>
        <w:numPr>
          <w:ilvl w:val="0"/>
          <w:numId w:val="1003"/>
        </w:numPr>
        <w:pStyle w:val="Compact"/>
      </w:pPr>
      <w:r>
        <w:rPr>
          <w:bCs/>
          <w:b/>
        </w:rPr>
        <w:t xml:space="preserve">Teacher Retention:</w:t>
      </w:r>
    </w:p>
    <w:bookmarkEnd w:id="28"/>
    <w:bookmarkStart w:id="29" w:name="conclusion"/>
    <w:p>
      <w:pPr>
        <w:pStyle w:val="Heading2"/>
      </w:pPr>
      <w:r>
        <w:t xml:space="preserve">6. Conclusion</w:t>
      </w:r>
    </w:p>
    <w:p>
      <w:pPr>
        <w:pStyle w:val="FirstParagraph"/>
      </w:pPr>
      <w:r>
        <w:t xml:space="preserve">The case of "Teacher Secondary" in China Guangzhou illustrates that successful educational innovation requires more than just curricular changes; it demands cultural sensitivity, robust professional development, and strong community engagement. By adapting to the unique dynamics of Guangzhou’s educational landscape the framework has established a replicable model for other major Chinese cities. The experience underscores that when teachers are empowered with adaptive skills and cultural intelligence they can effectively navigate the complex intersection of tradition and modernity in secondary education.</w:t>
      </w:r>
    </w:p>
    <w:p>
      <w:pPr>
        <w:pStyle w:val="BodyText"/>
      </w:pPr>
      <w:r>
        <w:t xml:space="preserve">As Guangzhou continues to expand its influence as an international hub, the "Teacher Secondary" approach offers a blueprint for cultivating a generation of students who are both academically rigorous and globally minded. Future iterations of this model should focus on deeper integration with local tech industries, further embedding real-world problem-solving into the secondary curriculum.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 Strategic Implementation in China Guangzhou</dc:title>
  <dc:creator/>
  <cp:keywords/>
  <dcterms:created xsi:type="dcterms:W3CDTF">2026-07-29T18:36:44Z</dcterms:created>
  <dcterms:modified xsi:type="dcterms:W3CDTF">2026-07-29T18:36:44Z</dcterms:modified>
</cp:coreProperties>
</file>

<file path=docProps/custom.xml><?xml version="1.0" encoding="utf-8"?>
<Properties xmlns="http://schemas.openxmlformats.org/officeDocument/2006/custom-properties" xmlns:vt="http://schemas.openxmlformats.org/officeDocument/2006/docPropsVTypes"/>
</file>