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Colombia</w:t>
      </w:r>
      <w:r>
        <w:t xml:space="preserve"> </w:t>
      </w:r>
      <w:r>
        <w:t xml:space="preserve">Medellín</w:t>
      </w:r>
    </w:p>
    <w:bookmarkStart w:id="20" w:name="X1ffdc1713c56b1bfe0c55cf11c521f9c5892ecb"/>
    <w:p>
      <w:pPr>
        <w:pStyle w:val="Heading1"/>
      </w:pPr>
      <w:r>
        <w:t xml:space="preserve">Case Study: The Evolution of the Teacher Secondary Profile in Colombia Medellín</w:t>
      </w:r>
    </w:p>
    <w:p>
      <w:pPr>
        <w:pStyle w:val="FirstParagraph"/>
      </w:pPr>
      <w:r>
        <w:t xml:space="preserve">Analyzing Educational Reform, Cultural Context, and Professional Challenges in a Major Colombian Metropolis</w:t>
      </w:r>
    </w:p>
    <w:bookmarkEnd w:id="20"/>
    <w:bookmarkStart w:id="22" w:name="introduction"/>
    <w:bookmarkStart w:id="21" w:name="i.-introduction-to-the-case-study"/>
    <w:p>
      <w:pPr>
        <w:pStyle w:val="Heading2"/>
      </w:pPr>
      <w:r>
        <w:t xml:space="preserve">I. Introduction to the Case Study</w:t>
      </w:r>
    </w:p>
    <w:p>
      <w:pPr>
        <w:pStyle w:val="FirstParagraph"/>
      </w:pPr>
      <w:r>
        <w:t xml:space="preserve">The educational landscape in Latin America has undergone significant transformations over the past two decades, with Colombia standing at the forefront of these changes. This case study focuses specifically on the role, challenges, and evolving identity of the Teacher Secondary educator within</w:t>
      </w:r>
      <w:r>
        <w:t xml:space="preserve"> </w:t>
      </w:r>
      <w:r>
        <w:rPr>
          <w:bCs/>
          <w:b/>
        </w:rPr>
        <w:t xml:space="preserve">Colombia Medellín</w:t>
      </w:r>
      <w:r>
        <w:t xml:space="preserve">. As one of Colombia’s most populous cities and its second-largest metropolitan area, Medellín serves as a critical microcosm for understanding how national educational policies intersect with local socio-economic realities. The term "Teacher Secondary" refers not merely to a job title, but to a professional archetype responsible for guiding adolescents through the crucial transition period between primary education and higher education or the workforce. In the context of</w:t>
      </w:r>
      <w:r>
        <w:t xml:space="preserve"> </w:t>
      </w:r>
      <w:r>
        <w:rPr>
          <w:bCs/>
          <w:b/>
        </w:rPr>
        <w:t xml:space="preserve">Colombia Medellín</w:t>
      </w:r>
      <w:r>
        <w:t xml:space="preserve">, this role is imbued with additional complexity due to the city’s historical trajectory from violence and drug-induced instability in the late 20th century to its current status as a global model of urban innovation and social inclusion.</w:t>
      </w:r>
    </w:p>
    <w:p>
      <w:pPr>
        <w:pStyle w:val="BodyText"/>
      </w:pPr>
      <w:r>
        <w:t xml:space="preserve">This document explores how the identity of the Teacher Secondary has shifted in response to curriculum reforms, digital integration mandates, and persistent social inequalities. By examining specific data points, pedagogical shifts, and community dynamics unique to</w:t>
      </w:r>
      <w:r>
        <w:t xml:space="preserve"> </w:t>
      </w:r>
      <w:r>
        <w:rPr>
          <w:bCs/>
          <w:b/>
        </w:rPr>
        <w:t xml:space="preserve">Colombia Medellín</w:t>
      </w:r>
      <w:r>
        <w:t xml:space="preserve">, this case study aims to provide a comprehensive analysis of what it means to be an educator in this dynamic environment today.</w:t>
      </w:r>
    </w:p>
    <w:bookmarkEnd w:id="21"/>
    <w:bookmarkEnd w:id="22"/>
    <w:bookmarkStart w:id="24" w:name="context"/>
    <w:bookmarkStart w:id="23" w:name="X67694296165ecbeb5b14ea5a1f8df397f161b6b"/>
    <w:p>
      <w:pPr>
        <w:pStyle w:val="Heading2"/>
      </w:pPr>
      <w:r>
        <w:t xml:space="preserve">II. Contextual Background: The Reality of Colombia Medellín</w:t>
      </w:r>
    </w:p>
    <w:p>
      <w:pPr>
        <w:pStyle w:val="FirstParagraph"/>
      </w:pPr>
      <w:r>
        <w:t xml:space="preserve">To understand the position of the Teacher Secondary, one must first appreciate the unique context of their workplace in</w:t>
      </w:r>
      <w:r>
        <w:t xml:space="preserve"> </w:t>
      </w:r>
      <w:r>
        <w:rPr>
          <w:bCs/>
          <w:b/>
        </w:rPr>
        <w:t xml:space="preserve">Colombia Medellín</w:t>
      </w:r>
      <w:r>
        <w:t xml:space="preserve">. Historically known for its association with Pablo Escobar and intense urban conflict, Medellín has reinvented itself as a city focused on social urbanism. This transformation is evident in its infrastructure, including cable cars connecting hillside marginalized communities to the city center and modern libraries called "Bibliotecas Parques."</w:t>
      </w:r>
    </w:p>
    <w:p>
      <w:pPr>
        <w:pStyle w:val="BodyText"/>
      </w:pPr>
      <w:r>
        <w:t xml:space="preserve">However, despite these physical improvements, socioeconomic disparities remain stark. The concept of "Teacher Secondary" in this setting requires educators to operate as both academic instructors and psychosocial support agents. Many students in public secondary schools in Medellín come from single-parent households or families displaced by internal conflict. Consequently, the classroom becomes a sanctuary where issues such as trauma, violence exposure, and economic precarity are addressed alongside traditional subjects like mathematics, literature, or sciences.</w:t>
      </w:r>
    </w:p>
    <w:p>
      <w:pPr>
        <w:pStyle w:val="BodyText"/>
      </w:pPr>
      <w:r>
        <w:t xml:space="preserve">The Ministry of National Education (MEN) has driven national reforms that emphasize competency-based learning. In</w:t>
      </w:r>
      <w:r>
        <w:t xml:space="preserve"> </w:t>
      </w:r>
      <w:r>
        <w:rPr>
          <w:bCs/>
          <w:b/>
        </w:rPr>
        <w:t xml:space="preserve">Colombia Medellín</w:t>
      </w:r>
      <w:r>
        <w:t xml:space="preserve">, these national mandates are implemented through local educational authorities like the Secretary of Education. This creates a dual pressure on the Teacher Secondary: they must adhere to rigid standardized testing requirements while simultaneously addressing the non-cognitive needs of students who face daily challenges related to safety and food security.</w:t>
      </w:r>
    </w:p>
    <w:bookmarkEnd w:id="23"/>
    <w:bookmarkEnd w:id="24"/>
    <w:bookmarkStart w:id="29" w:name="challenges"/>
    <w:bookmarkStart w:id="28" w:name="X128a982b50c80d64bb9d2ef0a21e2cc3b0cf664"/>
    <w:p>
      <w:pPr>
        <w:pStyle w:val="Heading2"/>
      </w:pPr>
      <w:r>
        <w:t xml:space="preserve">III. Key Challenges Facing the Teacher Secondary</w:t>
      </w:r>
    </w:p>
    <w:p>
      <w:pPr>
        <w:pStyle w:val="FirstParagraph"/>
      </w:pPr>
      <w:r>
        <w:t xml:space="preserve">The professional life of a Teacher Secondary in Medellín is characterized by several intersecting challenges. These obstacles are not unique to Colombia but are amplified by local conditions.</w:t>
      </w:r>
    </w:p>
    <w:bookmarkStart w:id="25" w:name="a.-infrastructure-and-resource-disparity"/>
    <w:p>
      <w:pPr>
        <w:pStyle w:val="Heading3"/>
      </w:pPr>
      <w:r>
        <w:t xml:space="preserve">A. Infrastructure and Resource Disparity</w:t>
      </w:r>
    </w:p>
    <w:p>
      <w:pPr>
        <w:pStyle w:val="FirstParagraph"/>
      </w:pPr>
      <w:r>
        <w:t xml:space="preserve">While some schools in upscale neighborhoods like El Poblado have state-of-the-art laboratories and smart classrooms, many schools in the Comuna 13 or other peripheral areas struggle with basic resources. For the Teacher Secondary, this means adapting pedagogical strategies to work with limited technological access. The digital divide is a significant barrier; during the pandemic, many students lacked internet connectivity or devices, forcing teachers to rely on printed materials and radio broadcasts, a stark contrast to urban centers in Europe or North America.</w:t>
      </w:r>
    </w:p>
    <w:bookmarkEnd w:id="25"/>
    <w:bookmarkStart w:id="26" w:name="b.-student-motivation-and-dropout-rates"/>
    <w:p>
      <w:pPr>
        <w:pStyle w:val="Heading3"/>
      </w:pPr>
      <w:r>
        <w:t xml:space="preserve">B. Student Motivation and Dropout Rates</w:t>
      </w:r>
    </w:p>
    <w:p>
      <w:pPr>
        <w:pStyle w:val="FirstParagraph"/>
      </w:pPr>
      <w:r>
        <w:t xml:space="preserve">A critical concern for any Teacher Secondary is student retention. In</w:t>
      </w:r>
      <w:r>
        <w:t xml:space="preserve"> </w:t>
      </w:r>
      <w:r>
        <w:rPr>
          <w:bCs/>
          <w:b/>
        </w:rPr>
        <w:t xml:space="preserve">Colombia Medellín</w:t>
      </w:r>
      <w:r>
        <w:t xml:space="preserve">, dropout rates in secondary education remain a persistent issue, often linked to the lure of informal economies or gang recruitment among vulnerable youth groups. Teachers are often tasked with identifying at-risk students and intervening early. This requires a level of emotional intelligence and community engagement that goes beyond standard teaching certification.</w:t>
      </w:r>
    </w:p>
    <w:bookmarkEnd w:id="26"/>
    <w:bookmarkStart w:id="27" w:name="c.-professional-development-and-burnout"/>
    <w:p>
      <w:pPr>
        <w:pStyle w:val="Heading3"/>
      </w:pPr>
      <w:r>
        <w:t xml:space="preserve">C. Professional Development and Burnout</w:t>
      </w:r>
    </w:p>
    <w:p>
      <w:pPr>
        <w:pStyle w:val="FirstParagraph"/>
      </w:pPr>
      <w:r>
        <w:t xml:space="preserve">The demand for continuous professional development is high due to frequent curriculum updates. However, teachers in Medellín often report feelings of isolation and burnout. The "Teacher Secondary" role has expanded to include administrative burdens, mental health counseling responsibilities, and community mediation duties without a corresponding increase in salary or social recognition compared to other professions.</w:t>
      </w:r>
    </w:p>
    <w:bookmarkEnd w:id="27"/>
    <w:bookmarkEnd w:id="28"/>
    <w:bookmarkEnd w:id="29"/>
    <w:bookmarkStart w:id="31" w:name="opportunities"/>
    <w:bookmarkStart w:id="30" w:name="X5e2f50a3b1f60c7bb56a9acc57f5f11e98bce08"/>
    <w:p>
      <w:pPr>
        <w:pStyle w:val="Heading2"/>
      </w:pPr>
      <w:r>
        <w:t xml:space="preserve">IV. Opportunities for Innovation and Growth</w:t>
      </w:r>
    </w:p>
    <w:p>
      <w:pPr>
        <w:pStyle w:val="FirstParagraph"/>
      </w:pPr>
      <w:r>
        <w:t xml:space="preserve">Despite the challenges, the position of Teacher Secondary in Medellín offers unique opportunities for innovation. The city’s reputation as a hub of creativity has fostered new pedagogical approaches.</w:t>
      </w:r>
    </w:p>
    <w:p>
      <w:pPr>
        <w:numPr>
          <w:ilvl w:val="0"/>
          <w:numId w:val="1001"/>
        </w:numPr>
        <w:pStyle w:val="Compact"/>
      </w:pPr>
      <w:r>
        <w:rPr>
          <w:bCs/>
          <w:b/>
        </w:rPr>
        <w:t xml:space="preserve">Tech-Integrated Pedagogy:</w:t>
      </w:r>
      <w:r>
        <w:t xml:space="preserve"> </w:t>
      </w:r>
      <w:r>
        <w:t xml:space="preserve">Initiatives like "Medellín Ciudad Inteligente" (Medellín Smart City) have integrated technology into public schools. Teachers are learning to use coding, robotics, and digital literacy tools to prepare students for the modern economy.</w:t>
      </w:r>
    </w:p>
    <w:p>
      <w:pPr>
        <w:numPr>
          <w:ilvl w:val="0"/>
          <w:numId w:val="1001"/>
        </w:numPr>
        <w:pStyle w:val="Compact"/>
      </w:pPr>
      <w:r>
        <w:rPr>
          <w:bCs/>
          <w:b/>
        </w:rPr>
        <w:t xml:space="preserve">Community-Based Learning:</w:t>
      </w:r>
      <w:r>
        <w:t xml:space="preserve"> </w:t>
      </w:r>
      <w:r>
        <w:t xml:space="preserve">There is a growing movement towards project-based learning that connects classroom content with local community issues. For example, a biology Teacher Secondary might lead a project on urban agriculture in school gardens, addressing both ecological awareness and food security.</w:t>
      </w:r>
    </w:p>
    <w:p>
      <w:pPr>
        <w:numPr>
          <w:ilvl w:val="0"/>
          <w:numId w:val="1001"/>
        </w:numPr>
        <w:pStyle w:val="Compact"/>
      </w:pPr>
      <w:r>
        <w:rPr>
          <w:bCs/>
          <w:b/>
        </w:rPr>
        <w:t xml:space="preserve">Social Emotional Learning (SEL):</w:t>
      </w:r>
      <w:r>
        <w:t xml:space="preserve"> </w:t>
      </w:r>
      <w:r>
        <w:t xml:space="preserve">Recognizing the impact of past violence, many schools in Medellín are implementing SEL programs. Teachers are trained to create safe spaces for dialogue, helping students develop resilience and conflict resolution skills.</w:t>
      </w:r>
    </w:p>
    <w:bookmarkEnd w:id="30"/>
    <w:bookmarkEnd w:id="31"/>
    <w:bookmarkStart w:id="33" w:name="recommendations"/>
    <w:bookmarkStart w:id="32" w:name="Xfffb806298b0966918fb543eabb480f0a725411"/>
    <w:p>
      <w:pPr>
        <w:pStyle w:val="Heading2"/>
      </w:pPr>
      <w:r>
        <w:t xml:space="preserve">V. Strategic Recommendations for Stakeholders</w:t>
      </w:r>
    </w:p>
    <w:p>
      <w:pPr>
        <w:pStyle w:val="FirstParagraph"/>
      </w:pPr>
      <w:r>
        <w:t xml:space="preserve">To strengthen the role of the Teacher Secondary in Colombia Medellín, several strategic actions are recommended:</w:t>
      </w:r>
    </w:p>
    <w:p>
      <w:pPr>
        <w:numPr>
          <w:ilvl w:val="0"/>
          <w:numId w:val="1002"/>
        </w:numPr>
        <w:pStyle w:val="Compact"/>
      </w:pPr>
      <w:r>
        <w:rPr>
          <w:bCs/>
          <w:b/>
        </w:rPr>
        <w:t xml:space="preserve">Incentivize Rural and Urban Marginal Teaching:</w:t>
      </w:r>
      <w:r>
        <w:t xml:space="preserve"> </w:t>
      </w:r>
      <w:r>
        <w:t xml:space="preserve">The government should offer financial bonuses and housing support for qualified Teachers Secondary willing to work in high-risk or remote areas of the metropolitan area.</w:t>
      </w:r>
    </w:p>
    <w:p>
      <w:pPr>
        <w:numPr>
          <w:ilvl w:val="0"/>
          <w:numId w:val="1002"/>
        </w:numPr>
        <w:pStyle w:val="Compact"/>
      </w:pPr>
      <w:r>
        <w:rPr>
          <w:bCs/>
          <w:b/>
        </w:rPr>
        <w:t xml:space="preserve">Enhance Mental Health Support for Educators:</w:t>
      </w:r>
      <w:r>
        <w:t xml:space="preserve"> </w:t>
      </w:r>
      <w:r>
        <w:t xml:space="preserve">Schools must provide accessible psychological support services for teachers, recognizing that teaching in a post-conflict society is emotionally taxing.</w:t>
      </w:r>
    </w:p>
    <w:p>
      <w:pPr>
        <w:numPr>
          <w:ilvl w:val="0"/>
          <w:numId w:val="1002"/>
        </w:numPr>
        <w:pStyle w:val="Compact"/>
      </w:pPr>
      <w:r>
        <w:rPr>
          <w:bCs/>
          <w:b/>
        </w:rPr>
        <w:t xml:space="preserve">Foster Public-Private Partnerships:</w:t>
      </w:r>
    </w:p>
    <w:p>
      <w:pPr>
        <w:numPr>
          <w:ilvl w:val="0"/>
          <w:numId w:val="1002"/>
        </w:numPr>
        <w:pStyle w:val="Compact"/>
      </w:pPr>
      <w:r>
        <w:t xml:space="preserve">Promote Inter-School Collaboration Networks:</w:t>
      </w:r>
    </w:p>
    <w:bookmarkEnd w:id="32"/>
    <w:bookmarkEnd w:id="33"/>
    <w:bookmarkStart w:id="35" w:name="conclusion"/>
    <w:bookmarkStart w:id="34" w:name="vi.-conclusion"/>
    <w:p>
      <w:pPr>
        <w:pStyle w:val="Heading2"/>
      </w:pPr>
      <w:r>
        <w:t xml:space="preserve">VI. Conclusion</w:t>
      </w:r>
    </w:p>
    <w:p>
      <w:pPr>
        <w:pStyle w:val="FirstParagraph"/>
      </w:pPr>
      <w:r>
        <w:t xml:space="preserve">The case of the Teacher Secondary in Colombia Medellín illustrates the profound complexity of modern education in developing urban centers. This educator is no longer just a transmitter of knowledge but a pivotal figure in social cohesion, psychological support, and community development. The challenges faced by this professional—ranging from resource scarcity to student trauma—are significant. However, they are matched by the resilience and adaptability required to succeed.</w:t>
      </w:r>
    </w:p>
    <w:p>
      <w:pPr>
        <w:pStyle w:val="BodyText"/>
      </w:pPr>
      <w:r>
        <w:t xml:space="preserve">As Medellín continues its journey toward becoming a sustainable and inclusive city, the role of the Teacher Secondary will remain central. Investing in these educators through better training, resources, and societal recognition is not merely an educational imperative but a strategic investment in the future stability and prosperity of Colombia. The evolution of this profession reflects the broader narrative of Medellín itself: rising from adversity to create new possibilities for generations to come.</w:t>
      </w:r>
    </w:p>
    <w:bookmarkEnd w:id="34"/>
    <w:bookmarkEnd w:id="35"/>
    <w:p>
      <w:pPr>
        <w:pStyle w:val="BodyText"/>
      </w:pPr>
      <w:r>
        <w:t xml:space="preserve">© 2023 Educational Research Institute. All rights reserved.</w:t>
      </w:r>
    </w:p>
    <w:p>
      <w:pPr>
        <w:pStyle w:val="BodyText"/>
      </w:pPr>
      <w:r>
        <w:t xml:space="preserve">This document is intended for academic and policy review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Colombia Medellín</dc:title>
  <dc:creator/>
  <dc:language>en</dc:language>
  <cp:keywords/>
  <dcterms:created xsi:type="dcterms:W3CDTF">2026-07-29T11:41:34Z</dcterms:created>
  <dcterms:modified xsi:type="dcterms:W3CDTF">2026-07-29T11:41:34Z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