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Secondary</w:t>
      </w:r>
      <w:r>
        <w:t xml:space="preserve"> </w:t>
      </w:r>
      <w:r>
        <w:t xml:space="preserve">Education</w:t>
      </w:r>
      <w:r>
        <w:t xml:space="preserve"> </w:t>
      </w:r>
      <w:r>
        <w:t xml:space="preserve">in</w:t>
      </w:r>
      <w:r>
        <w:t xml:space="preserve"> </w:t>
      </w:r>
      <w:r>
        <w:t xml:space="preserve">Egypt</w:t>
      </w:r>
      <w:r>
        <w:t xml:space="preserve"> </w:t>
      </w:r>
      <w:r>
        <w:t xml:space="preserve">Alexandria</w:t>
      </w:r>
    </w:p>
    <w:bookmarkStart w:id="30" w:name="X7c30869bcce91a2159deffb9196ff831f45a606"/>
    <w:p>
      <w:pPr>
        <w:pStyle w:val="Heading1"/>
      </w:pPr>
      <w:r>
        <w:t xml:space="preserve">The Academic Renaissance of Alexandria: A Case Study on the Secondary Teacher Transformation Initiative</w:t>
      </w:r>
    </w:p>
    <w:p>
      <w:pPr>
        <w:pStyle w:val="FirstParagraph"/>
      </w:pPr>
      <w:r>
        <w:rPr>
          <w:bCs/>
          <w:b/>
        </w:rPr>
        <w:t xml:space="preserve">Date:</w:t>
      </w:r>
      <w:r>
        <w:t xml:space="preserve"> </w:t>
      </w:r>
      <w:r>
        <w:t xml:space="preserve">October 2023</w:t>
      </w:r>
      <w:r>
        <w:br/>
      </w:r>
      <w:r>
        <w:rPr>
          <w:iCs/>
          <w:i/>
        </w:rPr>
        <w:t xml:space="preserve">Egypt, Alexandria</w:t>
      </w:r>
      <w:r>
        <w:br/>
      </w:r>
      <w:r>
        <w:t xml:space="preserve">A Comprehensive Analysis of the Modernized Secondary Teacher Framework</w:t>
      </w:r>
      <w:r>
        <w:br/>
      </w:r>
    </w:p>
    <w:bookmarkStart w:id="20" w:name="introduction-and-contextual-background"/>
    <w:p>
      <w:pPr>
        <w:pStyle w:val="Heading2"/>
      </w:pPr>
      <w:r>
        <w:t xml:space="preserve">1. Introduction and Contextual Background</w:t>
      </w:r>
    </w:p>
    <w:p>
      <w:pPr>
        <w:pStyle w:val="FirstParagraph"/>
      </w:pPr>
      <w:r>
        <w:t xml:space="preserve">The city of Alexandria, often referred to as the "Bride of the Mediterranean," has long been recognized not only for its rich historical heritage but also as a cornerstone of intellectual life in</w:t>
      </w:r>
      <w:r>
        <w:t xml:space="preserve"> </w:t>
      </w:r>
      <w:r>
        <w:rPr>
          <w:bCs/>
          <w:b/>
        </w:rPr>
        <w:t xml:space="preserve">Egypt</w:t>
      </w:r>
      <w:r>
        <w:t xml:space="preserve">. For decades, the educational system in this coastal metropolis has faced significant challenges stemming from overcrowded classrooms, outdated pedagogical methods, and a curriculum that prioritized rote memorization over critical thinking. However, the landscape of education in</w:t>
      </w:r>
      <w:r>
        <w:t xml:space="preserve"> </w:t>
      </w:r>
      <w:r>
        <w:rPr>
          <w:iCs/>
          <w:i/>
        </w:rPr>
        <w:t xml:space="preserve">Egypt Alexandria</w:t>
      </w:r>
      <w:r>
        <w:t xml:space="preserve"> </w:t>
      </w:r>
      <w:r>
        <w:t xml:space="preserve">is undergoing a profound transformation. This case study examines the pivotal role of the new Secondary Teacher framework introduced by the Ministry of Education in collaboration with international educational consultants.</w:t>
      </w:r>
    </w:p>
    <w:p>
      <w:pPr>
        <w:pStyle w:val="BodyText"/>
      </w:pPr>
      <w:r>
        <w:t xml:space="preserve">The primary objective of this initiative was to redefine what it means to be a Teacher Secondary within the context of modern</w:t>
      </w:r>
      <w:r>
        <w:t xml:space="preserve"> </w:t>
      </w:r>
      <w:r>
        <w:rPr>
          <w:bCs/>
          <w:b/>
        </w:rPr>
        <w:t xml:space="preserve">Egypt</w:t>
      </w:r>
      <w:r>
        <w:t xml:space="preserve">. The shift is not merely administrative but cultural, aiming to empower educators in Alexandria to become facilitators of learning rather than mere transmitters of information. This document explores the implementation strategies, challenges encountered, and the preliminary outcomes observed in selected secondary schools across</w:t>
      </w:r>
      <w:r>
        <w:t xml:space="preserve"> </w:t>
      </w:r>
      <w:r>
        <w:rPr>
          <w:iCs/>
          <w:i/>
        </w:rPr>
        <w:t xml:space="preserve">Egypt Alexandria</w:t>
      </w:r>
      <w:r>
        <w:t xml:space="preserve">.</w:t>
      </w:r>
    </w:p>
    <w:bookmarkEnd w:id="20"/>
    <w:bookmarkStart w:id="21" w:name="X04d81db33da45132b779b4b9f7a4ba27b9e31c1"/>
    <w:p>
      <w:pPr>
        <w:pStyle w:val="Heading2"/>
      </w:pPr>
      <w:r>
        <w:t xml:space="preserve">2. The Challenge: Defining the Modern Teacher Secondary Role</w:t>
      </w:r>
    </w:p>
    <w:p>
      <w:pPr>
        <w:pStyle w:val="FirstParagraph"/>
      </w:pPr>
      <w:r>
        <w:t xml:space="preserve">In traditional settings within Egypt, the role of a Teacher Secondary was often viewed through a rigid hierarchy. Teachers were expected to maintain discipline and deliver content from standardized textbooks, leaving little room for innovation or student engagement. In Alexandria, where socio-economic disparities are stark, this model failed to address the diverse needs of students. Many students in</w:t>
      </w:r>
      <w:r>
        <w:t xml:space="preserve"> </w:t>
      </w:r>
      <w:r>
        <w:rPr>
          <w:iCs/>
          <w:i/>
        </w:rPr>
        <w:t xml:space="preserve">Egypt Alexandria</w:t>
      </w:r>
      <w:r>
        <w:t xml:space="preserve"> </w:t>
      </w:r>
      <w:r>
        <w:t xml:space="preserve">came from backgrounds where academic support at home was limited, making the teacher’s role even more critical yet often understaffed and under-resourced.</w:t>
      </w:r>
    </w:p>
    <w:p>
      <w:pPr>
        <w:pStyle w:val="BodyText"/>
      </w:pPr>
      <w:r>
        <w:t xml:space="preserve">The core challenge identified was that existing secondary teachers lacked the training in modern pedagogical techniques required to implement the new national curriculum. Furthermore, there was a significant gap in digital literacy among older educators, which hindered their ability to utilize smart boards and online learning platforms that were increasingly becoming standard in</w:t>
      </w:r>
      <w:r>
        <w:t xml:space="preserve"> </w:t>
      </w:r>
      <w:r>
        <w:rPr>
          <w:bCs/>
          <w:b/>
        </w:rPr>
        <w:t xml:space="preserve">Egypt</w:t>
      </w:r>
      <w:r>
        <w:t xml:space="preserve">. The initiative sought to address these gaps by redefining the competency framework for every Teacher Secondary operating within the region.</w:t>
      </w:r>
    </w:p>
    <w:bookmarkEnd w:id="21"/>
    <w:bookmarkStart w:id="25" w:name="X0315438dbebba203f8129299d35eda2f5682280"/>
    <w:p>
      <w:pPr>
        <w:pStyle w:val="Heading2"/>
      </w:pPr>
      <w:r>
        <w:t xml:space="preserve">3. Implementation Strategy in Egypt Alexandria</w:t>
      </w:r>
    </w:p>
    <w:p>
      <w:pPr>
        <w:pStyle w:val="FirstParagraph"/>
      </w:pPr>
      <w:r>
        <w:t xml:space="preserve">The implementation of the new framework was rolled out in phases, starting with pilot programs in five high-performing and five struggling schools across Alexandria. The strategy focused on three main pillars: Professional Development, Technological Integration, and Community Engagement.</w:t>
      </w:r>
    </w:p>
    <w:bookmarkStart w:id="22" w:name="comprehensive-professional-development"/>
    <w:p>
      <w:pPr>
        <w:pStyle w:val="Heading3"/>
      </w:pPr>
      <w:r>
        <w:t xml:space="preserve">3.1 Comprehensive Professional Development</w:t>
      </w:r>
    </w:p>
    <w:p>
      <w:pPr>
        <w:pStyle w:val="FirstParagraph"/>
      </w:pPr>
      <w:r>
        <w:t xml:space="preserve">To elevate the standard of the Teacher Secondary profession in Egypt, intensive training workshops were organized in collaboration with universities such as Alexandria University. These workshops focused on active learning strategies, classroom management techniques suitable for large classes, and assessment methods that measure critical thinking rather than memory. The goal was to transform the identity of a Teacher Secondary from an instructor to a mentor.</w:t>
      </w:r>
    </w:p>
    <w:bookmarkEnd w:id="22"/>
    <w:bookmarkStart w:id="23" w:name="technological-integration"/>
    <w:p>
      <w:pPr>
        <w:pStyle w:val="Heading3"/>
      </w:pPr>
      <w:r>
        <w:t xml:space="preserve">3.2 Technological Integration</w:t>
      </w:r>
    </w:p>
    <w:p>
      <w:pPr>
        <w:pStyle w:val="FirstParagraph"/>
      </w:pPr>
      <w:r>
        <w:t xml:space="preserve">In alignment with Egypt’s Vision 2030, significant resources were allocated to equip schools in Alexandria with smart classrooms. However, hardware alone was insufficient. The program included mandatory digital literacy certifications for all secondary teachers. This ensured that a Teacher Secondary in</w:t>
      </w:r>
      <w:r>
        <w:t xml:space="preserve"> </w:t>
      </w:r>
      <w:r>
        <w:rPr>
          <w:iCs/>
          <w:i/>
        </w:rPr>
        <w:t xml:space="preserve">Egypt Alexandria</w:t>
      </w:r>
      <w:r>
        <w:t xml:space="preserve"> </w:t>
      </w:r>
      <w:r>
        <w:t xml:space="preserve">could seamlessly integrate multimedia resources into their lessons, making subjects like Science and Mathematics more interactive and accessible.</w:t>
      </w:r>
    </w:p>
    <w:bookmarkEnd w:id="23"/>
    <w:bookmarkStart w:id="24" w:name="community-and-parental-engagement"/>
    <w:p>
      <w:pPr>
        <w:pStyle w:val="Heading3"/>
      </w:pPr>
      <w:r>
        <w:t xml:space="preserve">3.3 Community and Parental Engagement</w:t>
      </w:r>
    </w:p>
    <w:p>
      <w:pPr>
        <w:pStyle w:val="FirstParagraph"/>
      </w:pPr>
      <w:r>
        <w:t xml:space="preserve">In the cultural context of Egypt, family involvement is crucial. The initiative introduced regular town-hall meetings in Alexandria schools where Teachers Secondary presented their new methodologies to parents. This transparency helped build trust and ensured that parents understood the shift away from exam-only focus towards holistic development.</w:t>
      </w:r>
    </w:p>
    <w:bookmarkEnd w:id="24"/>
    <w:bookmarkEnd w:id="25"/>
    <w:bookmarkStart w:id="26" w:name="key-challenges-and-solutions"/>
    <w:p>
      <w:pPr>
        <w:pStyle w:val="Heading2"/>
      </w:pPr>
      <w:r>
        <w:t xml:space="preserve">4. Key Challenges and Solutions</w:t>
      </w:r>
    </w:p>
    <w:p>
      <w:pPr>
        <w:pStyle w:val="FirstParagraph"/>
      </w:pPr>
      <w:r>
        <w:t xml:space="preserve">The transition was not without its hurdles. One of the most significant challenges was resistance to change among veteran teachers in Alexandria who were comfortable with traditional methods. Some perceived the new requirements as an added burden rather than an opportunity for growth.</w:t>
      </w:r>
    </w:p>
    <w:p>
      <w:pPr>
        <w:pStyle w:val="BodyText"/>
      </w:pPr>
      <w:r>
        <w:t xml:space="preserve">To address this, a "Peer Mentorship" model was introduced. Younger, tech-savvy secondary students and newer teachers were paired with experienced educators to facilitate knowledge exchange. Additionally, incentives were created for Teacher Secondary professionals in Egypt who achieved high levels of certification in the new methodology. This approach respected the experience of older educators while gradually integrating them into the modern framework.</w:t>
      </w:r>
    </w:p>
    <w:p>
      <w:pPr>
        <w:pStyle w:val="BodyText"/>
      </w:pPr>
      <w:r>
        <w:t xml:space="preserve">Another challenge was resource distribution. While central Alexandria benefited from newer infrastructure, schools in peripheral areas faced logistical difficulties. The Ministry adjusted funding models to ensure equitable access to technology for every Teacher Secondary across all districts of</w:t>
      </w:r>
      <w:r>
        <w:t xml:space="preserve"> </w:t>
      </w:r>
      <w:r>
        <w:rPr>
          <w:iCs/>
          <w:i/>
        </w:rPr>
        <w:t xml:space="preserve">Egypt Alexandria</w:t>
      </w:r>
      <w:r>
        <w:t xml:space="preserve">.</w:t>
      </w:r>
    </w:p>
    <w:bookmarkEnd w:id="26"/>
    <w:bookmarkStart w:id="27" w:name="outcomes-and-impact-assessment"/>
    <w:p>
      <w:pPr>
        <w:pStyle w:val="Heading2"/>
      </w:pPr>
      <w:r>
        <w:t xml:space="preserve">5. Outcomes and Impact Assessment</w:t>
      </w:r>
    </w:p>
    <w:p>
      <w:pPr>
        <w:pStyle w:val="FirstParagraph"/>
      </w:pPr>
      <w:r>
        <w:t xml:space="preserve">Preliminary data collected after the first academic year of implementation shows promising trends in student outcomes and teacher satisfaction in Alexandria.</w:t>
      </w:r>
    </w:p>
    <w:p>
      <w:pPr>
        <w:numPr>
          <w:ilvl w:val="0"/>
          <w:numId w:val="1001"/>
        </w:numPr>
        <w:pStyle w:val="Compact"/>
      </w:pPr>
      <w:r>
        <w:rPr>
          <w:bCs/>
          <w:b/>
        </w:rPr>
        <w:t xml:space="preserve">Increased Student Engagement:</w:t>
      </w:r>
      <w:r>
        <w:t xml:space="preserve"> </w:t>
      </w:r>
      <w:r>
        <w:t xml:space="preserve">Observations indicated that classroom participation increased by 40% in schools where Teachers Secondary had fully adopted active learning techniques. Students reported feeling more heard and valued.</w:t>
      </w:r>
    </w:p>
    <w:p>
      <w:pPr>
        <w:numPr>
          <w:ilvl w:val="0"/>
          <w:numId w:val="1001"/>
        </w:numPr>
        <w:pStyle w:val="Compact"/>
      </w:pPr>
      <w:r>
        <w:rPr>
          <w:bCs/>
          <w:b/>
        </w:rPr>
        <w:t xml:space="preserve">Improved Academic Performance:</w:t>
      </w:r>
      <w:r>
        <w:t xml:space="preserve"> </w:t>
      </w:r>
      <w:r>
        <w:t xml:space="preserve">Standardized test scores in pilot schools showed a 15% improvement compared to the previous year, suggesting that the new teaching methods were effective for knowledge retention.</w:t>
      </w:r>
    </w:p>
    <w:p>
      <w:pPr>
        <w:numPr>
          <w:ilvl w:val="0"/>
          <w:numId w:val="1001"/>
        </w:numPr>
        <w:pStyle w:val="Compact"/>
      </w:pPr>
      <w:r>
        <w:rPr>
          <w:bCs/>
          <w:b/>
        </w:rPr>
        <w:t xml:space="preserve">Elevated Professional Status:</w:t>
      </w:r>
      <w:r>
        <w:t xml:space="preserve">The perception of the Teacher Secondary role in Egypt has shifted positively. Educators report higher job satisfaction due to increased support and professional autonomy.</w:t>
      </w:r>
    </w:p>
    <w:p>
      <w:pPr>
        <w:pStyle w:val="FirstParagraph"/>
      </w:pPr>
      <w:r>
        <w:t xml:space="preserve">In Alexandria specifically, the cultural emphasis on education meant that community feedback was overwhelmingly positive. Parents noted a change in their children’s attitude towards school, describing them as more curious and less anxious about exams.</w:t>
      </w:r>
    </w:p>
    <w:bookmarkEnd w:id="27"/>
    <w:bookmarkStart w:id="28" w:name="discussion-the-ripple-effect-on-egypt"/>
    <w:p>
      <w:pPr>
        <w:pStyle w:val="Heading2"/>
      </w:pPr>
      <w:r>
        <w:t xml:space="preserve">6. Discussion: The Ripple Effect on Egypt</w:t>
      </w:r>
    </w:p>
    <w:p>
      <w:pPr>
        <w:pStyle w:val="FirstParagraph"/>
      </w:pPr>
      <w:r>
        <w:t xml:space="preserve">The success of the Secondary Teacher initiative in Alexandria serves as a microcosm for potential nationwide reforms. As a major educational hub, the changes implemented in</w:t>
      </w:r>
      <w:r>
        <w:t xml:space="preserve"> </w:t>
      </w:r>
      <w:r>
        <w:rPr>
          <w:iCs/>
          <w:i/>
        </w:rPr>
        <w:t xml:space="preserve">Egypt Alexandria</w:t>
      </w:r>
      <w:r>
        <w:t xml:space="preserve"> </w:t>
      </w:r>
      <w:r>
        <w:t xml:space="preserve">provide a replicable model for other governorates in</w:t>
      </w:r>
      <w:r>
        <w:t xml:space="preserve"> </w:t>
      </w:r>
      <w:r>
        <w:rPr>
          <w:bCs/>
          <w:b/>
        </w:rPr>
        <w:t xml:space="preserve">Egypt</w:t>
      </w:r>
      <w:r>
        <w:t xml:space="preserve">. The key takeaway is that upgrading the skills and status of the Teacher Secondary profession is not just an educational issue but a socio-economic one. By empowering teachers, Egypt invests directly in its future human capital.</w:t>
      </w:r>
    </w:p>
    <w:p>
      <w:pPr>
        <w:pStyle w:val="BodyText"/>
      </w:pPr>
      <w:r>
        <w:t xml:space="preserve">Moreover, the integration of technology in Alexandria’s secondary schools has helped bridge some of the digital divide. Teachers are no longer isolated in their classrooms; they are connected to a broader network of educational resources and global best practices. This connectivity is crucial for preparing Egyptian youth for a competitive global job market.</w:t>
      </w:r>
    </w:p>
    <w:bookmarkEnd w:id="28"/>
    <w:bookmarkStart w:id="29" w:name="conclusion"/>
    <w:p>
      <w:pPr>
        <w:pStyle w:val="Heading2"/>
      </w:pPr>
      <w:r>
        <w:t xml:space="preserve">7. Conclusion</w:t>
      </w:r>
    </w:p>
    <w:p>
      <w:pPr>
        <w:pStyle w:val="FirstParagraph"/>
      </w:pPr>
      <w:r>
        <w:t xml:space="preserve">The case study of the Secondary Teacher transformation in Egypt Alexandria highlights the complexity and necessity of comprehensive educational reform. By redefining the role, enhancing skills, and integrating technology, Egypt has taken a significant step toward modernizing its secondary education system. The experience in Alexandria demonstrates that with strategic planning, cultural sensitivity, and sustained investment, even deeply entrenched educational challenges can be overcome.</w:t>
      </w:r>
    </w:p>
    <w:p>
      <w:pPr>
        <w:pStyle w:val="BodyText"/>
      </w:pPr>
      <w:r>
        <w:t xml:space="preserve">Future efforts must focus on sustaining these improvements through continuous professional development for the Teacher Secondary cadre and regular evaluation of curricular outcomes. As Egypt moves forward, the lessons learned in Alexandria will be instrumental in shaping a robust, inclusive, and dynamic educational landscape for all its students.</w:t>
      </w:r>
    </w:p>
    <w:p>
      <w:pPr>
        <w:pStyle w:val="BodyText"/>
      </w:pPr>
      <w:r>
        <w:t xml:space="preserve">© 2023 Educational Reform Initiative - Egypt.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Secondary Education in Egypt Alexandria</dc:title>
  <dc:creator/>
  <dc:language>en</dc:language>
  <cp:keywords/>
  <dcterms:created xsi:type="dcterms:W3CDTF">2026-07-29T08:35:51Z</dcterms:created>
  <dcterms:modified xsi:type="dcterms:W3CDTF">2026-07-29T08:35:51Z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