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Teacher</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31" w:name="Xcd049726a1844dfb696bbfaffa3f0ca2a3d7d69"/>
    <w:p>
      <w:pPr>
        <w:pStyle w:val="Heading1"/>
      </w:pPr>
      <w:r>
        <w:t xml:space="preserve">Case Study: Navigating the Path for a Teacher Secondary in France Marseille</w:t>
      </w:r>
    </w:p>
    <w:bookmarkStart w:id="20" w:name="executive-summary"/>
    <w:p>
      <w:pPr>
        <w:pStyle w:val="Heading2"/>
      </w:pPr>
      <w:r>
        <w:t xml:space="preserve">Executive Summary</w:t>
      </w:r>
    </w:p>
    <w:p>
      <w:pPr>
        <w:pStyle w:val="FirstParagraph"/>
      </w:pPr>
      <w:r>
        <w:t xml:space="preserve">This document presents a comprehensive case study regarding the recruitment, integration, and professional development of a</w:t>
      </w:r>
      <w:r>
        <w:t xml:space="preserve"> </w:t>
      </w:r>
      <w:r>
        <w:rPr>
          <w:bCs/>
          <w:b/>
        </w:rPr>
        <w:t xml:space="preserve">Teacher Secondary</w:t>
      </w:r>
      <w:r>
        <w:t xml:space="preserve">. The primary focus is on the specific educational landscape located within</w:t>
      </w:r>
      <w:r>
        <w:t xml:space="preserve"> </w:t>
      </w:r>
      <w:r>
        <w:rPr>
          <w:bCs/>
          <w:b/>
        </w:rPr>
        <w:t xml:space="preserve">France Marseille</w:t>
      </w:r>
      <w:r>
        <w:t xml:space="preserve">. This city, characterized by its rich cultural diversity and distinct socioeconomic challenges, offers a unique context for understanding the nuances of secondary education in France. The case study explores the structural requirements of teaching in this region, highlights the cultural adaptations necessary for success, and outlines strategic recommendations for stakeholders involved in educational hiring and policy-making.</w:t>
      </w:r>
    </w:p>
    <w:bookmarkEnd w:id="20"/>
    <w:bookmarkStart w:id="21" w:name="introduction-to-the-context"/>
    <w:p>
      <w:pPr>
        <w:pStyle w:val="Heading2"/>
      </w:pPr>
      <w:r>
        <w:t xml:space="preserve">1. Introduction to the Context</w:t>
      </w:r>
    </w:p>
    <w:p>
      <w:pPr>
        <w:pStyle w:val="FirstParagraph"/>
      </w:pPr>
      <w:r>
        <w:t xml:space="preserve">France’s public education system is highly centralized yet locally adapted. When examining a</w:t>
      </w:r>
      <w:r>
        <w:t xml:space="preserve"> </w:t>
      </w:r>
      <w:r>
        <w:rPr>
          <w:bCs/>
          <w:b/>
        </w:rPr>
        <w:t xml:space="preserve">Teacher Secondary</w:t>
      </w:r>
      <w:r>
        <w:t xml:space="preserve">, one must understand that this role carries significant responsibility within the French "Lycée" and "Collège" systems. The subject matter taught ranges from Mathematics and Literature to Sciences, but the pedagogical approach in</w:t>
      </w:r>
      <w:r>
        <w:t xml:space="preserve"> </w:t>
      </w:r>
      <w:r>
        <w:rPr>
          <w:bCs/>
          <w:b/>
        </w:rPr>
        <w:t xml:space="preserve">France Marseille</w:t>
      </w:r>
      <w:r>
        <w:t xml:space="preserve"> </w:t>
      </w:r>
      <w:r>
        <w:t xml:space="preserve">is heavily influenced by the city's status as a multicultural hub on the Mediterranean.</w:t>
      </w:r>
      <w:r>
        <w:t xml:space="preserve"> </w:t>
      </w:r>
      <w:r>
        <w:t xml:space="preserve">Marseille, being France’s second-largest city, presents a unique demographic profile. It is characterized by extreme diversity in terms of origin, language, and socioeconomic background. For any</w:t>
      </w:r>
      <w:r>
        <w:t xml:space="preserve"> </w:t>
      </w:r>
      <w:r>
        <w:rPr>
          <w:bCs/>
          <w:b/>
        </w:rPr>
        <w:t xml:space="preserve">Teacher Secondary</w:t>
      </w:r>
      <w:r>
        <w:t xml:space="preserve">, working in Marseille means navigating classrooms that are mirror images of global migration patterns. This environment demands not only academic expertise but also high levels of cultural competence and adaptability.</w:t>
      </w:r>
    </w:p>
    <w:bookmarkEnd w:id="21"/>
    <w:bookmarkStart w:id="22" w:name="Xbed81b5dd1454362be4e9f1a02d6c1984f23217"/>
    <w:p>
      <w:pPr>
        <w:pStyle w:val="Heading2"/>
      </w:pPr>
      <w:r>
        <w:t xml:space="preserve">2. Profile of the Teacher Secondary Candidate</w:t>
      </w:r>
    </w:p>
    <w:p>
      <w:pPr>
        <w:pStyle w:val="FirstParagraph"/>
      </w:pPr>
      <w:r>
        <w:t xml:space="preserve">The ideal candidate for a</w:t>
      </w:r>
      <w:r>
        <w:t xml:space="preserve"> </w:t>
      </w:r>
      <w:r>
        <w:rPr>
          <w:bCs/>
          <w:b/>
        </w:rPr>
        <w:t xml:space="preserve">Teacher Secondary</w:t>
      </w:r>
      <w:r>
        <w:t xml:space="preserve"> </w:t>
      </w:r>
      <w:r>
        <w:t xml:space="preserve">position in this region must possess more than just a university degree in their specific discipline. The "Concours" system, which regulates entry into the French teaching profession, ensures high academic standards. However, candidates aiming for positions specifically in</w:t>
      </w:r>
      <w:r>
        <w:t xml:space="preserve"> </w:t>
      </w:r>
      <w:r>
        <w:rPr>
          <w:bCs/>
          <w:b/>
        </w:rPr>
        <w:t xml:space="preserve">France Marseille</w:t>
      </w:r>
      <w:r>
        <w:t xml:space="preserve"> </w:t>
      </w:r>
      <w:r>
        <w:t xml:space="preserve">are often evaluated on additional criteria:</w:t>
      </w:r>
    </w:p>
    <w:p>
      <w:pPr>
        <w:numPr>
          <w:ilvl w:val="0"/>
          <w:numId w:val="1001"/>
        </w:numPr>
        <w:pStyle w:val="Compact"/>
      </w:pPr>
      <w:r>
        <w:rPr>
          <w:bCs/>
          <w:b/>
        </w:rPr>
        <w:t xml:space="preserve">Linguistic Proficiency:</w:t>
      </w:r>
      <w:r>
        <w:t xml:space="preserve"> </w:t>
      </w:r>
      <w:r>
        <w:t xml:space="preserve">While mastery of academic French is non-negotiable, familiarity with local dialects or the ability to communicate across diverse cultural barriers is highly valued.</w:t>
      </w:r>
    </w:p>
    <w:p>
      <w:pPr>
        <w:numPr>
          <w:ilvl w:val="0"/>
          <w:numId w:val="1001"/>
        </w:numPr>
        <w:pStyle w:val="Compact"/>
      </w:pPr>
      <w:r>
        <w:rPr>
          <w:bCs/>
          <w:b/>
        </w:rPr>
        <w:t xml:space="preserve">Socio-Emotional Intelligence:</w:t>
      </w:r>
      <w:r>
        <w:t xml:space="preserve"> </w:t>
      </w:r>
      <w:r>
        <w:t xml:space="preserve">Given the varied backgrounds of students in Marseille, teachers must be equipped to handle behavioral challenges stemming from social exclusion or integration difficulties.</w:t>
      </w:r>
    </w:p>
    <w:p>
      <w:pPr>
        <w:numPr>
          <w:ilvl w:val="0"/>
          <w:numId w:val="1001"/>
        </w:numPr>
        <w:pStyle w:val="Compact"/>
      </w:pPr>
      <w:r>
        <w:rPr>
          <w:bCs/>
          <w:b/>
        </w:rPr>
        <w:t xml:space="preserve">Cultural Adaptability:</w:t>
      </w:r>
      <w:r>
        <w:t xml:space="preserve"> </w:t>
      </w:r>
      <w:r>
        <w:t xml:space="preserve">Understanding the historical and social context of Provence-Alpes-Côte d'Azur is crucial for building rapport with parents and community leaders.</w:t>
      </w:r>
    </w:p>
    <w:bookmarkEnd w:id="22"/>
    <w:bookmarkStart w:id="26" w:name="Xe007f3f7ec7cbd423ea32f9949730749962674d"/>
    <w:p>
      <w:pPr>
        <w:pStyle w:val="Heading2"/>
      </w:pPr>
      <w:r>
        <w:t xml:space="preserve">3. Challenges Faced by Teacher Secondary in France Marseille</w:t>
      </w:r>
    </w:p>
    <w:p>
      <w:pPr>
        <w:pStyle w:val="FirstParagraph"/>
      </w:pPr>
      <w:r>
        <w:t xml:space="preserve">The implementation of standard French educational policies in</w:t>
      </w:r>
      <w:r>
        <w:t xml:space="preserve"> </w:t>
      </w:r>
      <w:r>
        <w:rPr>
          <w:bCs/>
          <w:b/>
        </w:rPr>
        <w:t xml:space="preserve">France MarseilleTeacher Secondary</w:t>
      </w:r>
    </w:p>
    <w:bookmarkStart w:id="23" w:name="Xec90c407807524fe9b3d59e178cf11a70c0a583"/>
    <w:p>
      <w:pPr>
        <w:pStyle w:val="Heading3"/>
      </w:pPr>
      <w:r>
        <w:t xml:space="preserve">Challenge 1: Classroom Diversity and Inclusion</w:t>
      </w:r>
    </w:p>
    <w:p>
      <w:pPr>
        <w:pStyle w:val="FirstParagraph"/>
      </w:pPr>
      <w:r>
        <w:t xml:space="preserve">In many neighborhoods of Marseille, classrooms are highly heterogeneous. A single class may contain students with varying levels of French proficiency, some of whom are recent immigrants. For a</w:t>
      </w:r>
      <w:r>
        <w:t xml:space="preserve"> </w:t>
      </w:r>
      <w:r>
        <w:rPr>
          <w:bCs/>
          <w:b/>
        </w:rPr>
        <w:t xml:space="preserve">Teacher Secondary</w:t>
      </w:r>
      <w:r>
        <w:t xml:space="preserve">, this requires differentiated instruction strategies that do not compromise the rigorous academic standards expected by the Ministry of Education in Paris.</w:t>
      </w:r>
    </w:p>
    <w:bookmarkEnd w:id="23"/>
    <w:bookmarkStart w:id="24" w:name="X0e196fbb2b672fc6da792273536f8891076e668"/>
    <w:p>
      <w:pPr>
        <w:pStyle w:val="Heading3"/>
      </w:pPr>
      <w:r>
        <w:t xml:space="preserve">Challenge 2: Resource Allocation and Infrastructure</w:t>
      </w:r>
    </w:p>
    <w:p>
      <w:pPr>
        <w:pStyle w:val="FirstParagraph"/>
      </w:pPr>
      <w:r>
        <w:t xml:space="preserve">While Marseille has invested heavily in modernizing its schools, disparities exist between affluent arrondissements and those in priority education zones (ZEP). A</w:t>
      </w:r>
      <w:r>
        <w:t xml:space="preserve"> </w:t>
      </w:r>
      <w:r>
        <w:rPr>
          <w:bCs/>
          <w:b/>
        </w:rPr>
        <w:t xml:space="preserve">Teacher Secondary</w:t>
      </w:r>
    </w:p>
    <w:bookmarkEnd w:id="24"/>
    <w:bookmarkStart w:id="25" w:name="challenge-3-bureaucratic-integration"/>
    <w:p>
      <w:pPr>
        <w:pStyle w:val="Heading3"/>
      </w:pPr>
      <w:r>
        <w:t xml:space="preserve">Challenge 3: Bureaucratic Integration</w:t>
      </w:r>
    </w:p>
    <w:p>
      <w:pPr>
        <w:pStyle w:val="FirstParagraph"/>
      </w:pPr>
      <w:r>
        <w:t xml:space="preserve">New teachers, particularly those recruited from outside the national system or returning from abroad, face a steep learning curve regarding French administrative procedures. Understanding the specific protocols of the Académie de Marseille is essential for a</w:t>
      </w:r>
      <w:r>
        <w:t xml:space="preserve"> </w:t>
      </w:r>
      <w:r>
        <w:rPr>
          <w:bCs/>
          <w:b/>
        </w:rPr>
        <w:t xml:space="preserve">Teacher Secondary</w:t>
      </w:r>
      <w:r>
        <w:t xml:space="preserve"> </w:t>
      </w:r>
      <w:r>
        <w:t xml:space="preserve">to navigate career progression and professional evaluations effectively.</w:t>
      </w:r>
    </w:p>
    <w:bookmarkEnd w:id="25"/>
    <w:bookmarkEnd w:id="26"/>
    <w:bookmarkStart w:id="29" w:name="strategic-implementation-plan"/>
    <w:p>
      <w:pPr>
        <w:pStyle w:val="Heading2"/>
      </w:pPr>
      <w:r>
        <w:t xml:space="preserve">4. Strategic Implementation Plan</w:t>
      </w:r>
    </w:p>
    <w:p>
      <w:pPr>
        <w:pStyle w:val="FirstParagraph"/>
      </w:pPr>
      <w:r>
        <w:t xml:space="preserve">To ensure the success of a</w:t>
      </w:r>
      <w:r>
        <w:t xml:space="preserve"> </w:t>
      </w:r>
      <w:r>
        <w:rPr>
          <w:bCs/>
          <w:b/>
        </w:rPr>
        <w:t xml:space="preserve">Teacher Secondary</w:t>
      </w:r>
      <w:r>
        <w:t xml:space="preserve"> </w:t>
      </w:r>
      <w:r>
        <w:t xml:space="preserve">in this dynamic environment, schools in</w:t>
      </w:r>
      <w:r>
        <w:t xml:space="preserve"> </w:t>
      </w:r>
      <w:r>
        <w:rPr>
          <w:bCs/>
          <w:b/>
        </w:rPr>
        <w:t xml:space="preserve">France Marseille</w:t>
      </w:r>
    </w:p>
    <w:bookmarkStart w:id="27" w:name="phase"/>
    <w:p>
      <w:pPr>
        <w:pStyle w:val="Heading3"/>
      </w:pPr>
      <w:r>
        <w:t xml:space="preserve">Phase</w:t>
      </w:r>
    </w:p>
    <w:bookmarkEnd w:id="27"/>
    <w:bookmarkStart w:id="28" w:name="action-item"/>
    <w:p>
      <w:pPr>
        <w:pStyle w:val="Heading3"/>
      </w:pPr>
      <w:r>
        <w:t xml:space="preserve">Action Item</w:t>
      </w:r>
    </w:p>
    <w:p>
      <w:pPr>
        <w:pStyle w:val="FirstParagraph"/>
      </w:pPr>
      <w:r>
        <w:t xml:space="preserve">Rationale for Teacher Secondary in France Marseille</w:t>
      </w:r>
    </w:p>
    <w:p>
      <w:pPr>
        <w:pStyle w:val="BodyText"/>
      </w:pPr>
      <w:r>
        <w:t xml:space="preserve">Prior to Arrival</w:t>
      </w:r>
      <w:r>
        <w:br/>
      </w:r>
      <w:r>
        <w:t xml:space="preserve">or Recruitment</w:t>
      </w:r>
    </w:p>
    <w:p>
      <w:pPr>
        <w:pStyle w:val="BodyText"/>
      </w:pPr>
      <w:r>
        <w:t xml:space="preserve">Cultural Orientation Module</w:t>
      </w:r>
    </w:p>
    <w:p>
      <w:pPr>
        <w:pStyle w:val="BodyText"/>
      </w:pPr>
      <w:r>
        <w:t xml:space="preserve">A comprehensive overview of the social fabric of Marseille, including key community leaders and historical contexts.</w:t>
      </w:r>
    </w:p>
    <w:p>
      <w:pPr>
        <w:pStyle w:val="BodyText"/>
      </w:pPr>
      <w:r>
        <w:t xml:space="preserve">First Month</w:t>
      </w:r>
      <w:r>
        <w:br/>
      </w:r>
      <w:r>
        <w:t xml:space="preserve">(Induction)</w:t>
      </w:r>
    </w:p>
    <w:p>
      <w:pPr>
        <w:pStyle w:val="BodyText"/>
      </w:pPr>
      <w:r>
        <w:t xml:space="preserve">Mentorship Assignment</w:t>
      </w:r>
    </w:p>
    <w:p>
      <w:pPr>
        <w:pStyle w:val="BodyText"/>
      </w:pPr>
      <w:r>
        <w:t xml:space="preserve">Pairs the new</w:t>
      </w:r>
      <w:r>
        <w:t xml:space="preserve"> </w:t>
      </w:r>
      <w:r>
        <w:rPr>
          <w:bCs/>
          <w:b/>
        </w:rPr>
        <w:t xml:space="preserve">Teacher Secondary</w:t>
      </w:r>
    </w:p>
    <w:p>
      <w:pPr>
        <w:pStyle w:val="BodyText"/>
      </w:pPr>
      <w:r>
        <w:t xml:space="preserve">First Term</w:t>
      </w:r>
      <w:r>
        <w:br/>
      </w:r>
      <w:r>
        <w:t xml:space="preserve">(Development)</w:t>
      </w:r>
    </w:p>
    <w:p>
      <w:pPr>
        <w:pStyle w:val="BodyText"/>
      </w:pPr>
      <w:r>
        <w:t xml:space="preserve">Differentiated Pedagogy Training</w:t>
      </w:r>
    </w:p>
    <w:p>
      <w:pPr>
        <w:pStyle w:val="BodyText"/>
      </w:pPr>
      <w:r>
        <w:t xml:space="preserve">Specialized workshops on teaching diverse learner profiles, crucial for the multicultural classrooms of Marseille.</w:t>
      </w:r>
    </w:p>
    <w:p>
      <w:pPr>
        <w:pStyle w:val="BodyText"/>
      </w:pPr>
      <w:r>
        <w:t xml:space="preserve">Ongoing</w:t>
      </w:r>
      <w:r>
        <w:br/>
      </w:r>
      <w:r>
        <w:t xml:space="preserve">(Evaluation)</w:t>
      </w:r>
    </w:p>
    <w:p>
      <w:pPr>
        <w:pStyle w:val="BodyText"/>
      </w:pPr>
      <w:r>
        <w:t xml:space="preserve">Community Engagement Projects</w:t>
      </w:r>
    </w:p>
    <w:p>
      <w:pPr>
        <w:pStyle w:val="BodyText"/>
      </w:pPr>
      <w:r>
        <w:t xml:space="preserve">Encouraging teachers to engage with local cultural institutions in Marseille to build bridges between the school and the community.</w:t>
      </w:r>
    </w:p>
    <w:p>
      <w:pPr>
        <w:pStyle w:val="BodyText"/>
      </w:pPr>
      <w:r>
        <w:t xml:space="preserve">5. Case Analysis: The Impact of Local Context on Pedagogy</w:t>
      </w:r>
    </w:p>
    <w:p>
      <w:pPr>
        <w:pStyle w:val="BodyText"/>
      </w:pPr>
      <w:r>
        <w:t xml:space="preserve">Consider a hypothetical scenario where a</w:t>
      </w:r>
      <w:r>
        <w:t xml:space="preserve"> </w:t>
      </w:r>
      <w:r>
        <w:rPr>
          <w:bCs/>
          <w:b/>
        </w:rPr>
        <w:t xml:space="preserve">Teacher Secondary</w:t>
      </w:r>
      <w:r>
        <w:t xml:space="preserve"> </w:t>
      </w:r>
      <w:r>
        <w:t xml:space="preserve">in History and Geography is teaching in the 14th district of Marseille. Unlike rural France, where historical narratives may be more uniform, students here bring diverse perspectives rooted in their familial ties to North Africa, Sub-Saharan Africa, and Southern Europe.</w:t>
      </w:r>
      <w:r>
        <w:t xml:space="preserve"> </w:t>
      </w:r>
      <w:r>
        <w:t xml:space="preserve">For this teacher to succeed, the curriculum cannot be taught as a monologue. It must become a dialogue. The</w:t>
      </w:r>
      <w:r>
        <w:t xml:space="preserve"> </w:t>
      </w:r>
      <w:r>
        <w:rPr>
          <w:bCs/>
          <w:b/>
        </w:rPr>
        <w:t xml:space="preserve">Teacher Secondary</w:t>
      </w:r>
      <w:r>
        <w:t xml:space="preserve"> </w:t>
      </w:r>
      <w:r>
        <w:t xml:space="preserve">leverages Marseille's status as an ancient Phoenician port to draw parallels with modern migration patterns. This approach validates the students' identities while meeting national educational standards. By anchoring lessons in local reality, the teacher transforms potential sources of alienation into tools for academic engagement.</w:t>
      </w:r>
    </w:p>
    <w:bookmarkEnd w:id="28"/>
    <w:bookmarkEnd w:id="29"/>
    <w:bookmarkStart w:id="30" w:name="recommendations-for-stakeholders"/>
    <w:p>
      <w:pPr>
        <w:pStyle w:val="Heading2"/>
      </w:pPr>
      <w:r>
        <w:t xml:space="preserve">6. Recommendations for Stakeholders</w:t>
      </w:r>
    </w:p>
    <w:p>
      <w:pPr>
        <w:pStyle w:val="FirstParagraph"/>
      </w:pPr>
      <w:r>
        <w:t xml:space="preserve">Based on this case study, several key recommendations emerge for policymakers and school administrators dealing with a</w:t>
      </w:r>
      <w:r>
        <w:t xml:space="preserve"> </w:t>
      </w:r>
      <w:r>
        <w:rPr>
          <w:bCs/>
          <w:b/>
        </w:rPr>
        <w:t xml:space="preserve">Teacher Secondary</w:t>
      </w:r>
      <w:r>
        <w:t xml:space="preserve"> </w:t>
      </w:r>
      <w:r>
        <w:t xml:space="preserve">in</w:t>
      </w:r>
      <w:r>
        <w:t xml:space="preserve"> </w:t>
      </w:r>
      <w:r>
        <w:rPr>
          <w:bCs/>
          <w:b/>
        </w:rPr>
        <w:t xml:space="preserve">France Marseille</w:t>
      </w:r>
      <w:r>
        <w:t xml:space="preserve">:</w:t>
      </w:r>
    </w:p>
    <w:p>
      <w:pPr>
        <w:numPr>
          <w:ilvl w:val="0"/>
          <w:numId w:val="1002"/>
        </w:numPr>
        <w:pStyle w:val="Compact"/>
      </w:pPr>
      <w:r>
        <w:rPr>
          <w:bCs/>
          <w:b/>
        </w:rPr>
        <w:t xml:space="preserve">Incentivize Hard-to-Staff Areas:</w:t>
      </w:r>
      <w:r>
        <w:t xml:space="preserve"> </w:t>
      </w:r>
      <w:r>
        <w:t xml:space="preserve">Financial bonuses and housing support should be considered to attract high-quality candidates to districts in Marseille that require significant support.</w:t>
      </w:r>
    </w:p>
    <w:p>
      <w:pPr>
        <w:numPr>
          <w:ilvl w:val="0"/>
          <w:numId w:val="1002"/>
        </w:numPr>
        <w:pStyle w:val="Compact"/>
      </w:pPr>
      <w:r>
        <w:rPr>
          <w:bCs/>
          <w:b/>
        </w:rPr>
        <w:t xml:space="preserve">Prioritize Soft Skills Training:</w:t>
      </w:r>
      <w:r>
        <w:t xml:space="preserve"> </w:t>
      </w:r>
      <w:r>
        <w:t xml:space="preserve">Recruitment processes should assess emotional intelligence and cross-cultural communication skills alongside academic credentials.</w:t>
      </w:r>
    </w:p>
    <w:p>
      <w:pPr>
        <w:numPr>
          <w:ilvl w:val="0"/>
          <w:numId w:val="1002"/>
        </w:numPr>
        <w:pStyle w:val="Compact"/>
      </w:pPr>
      <w:r>
        <w:rPr>
          <w:bCs/>
          <w:b/>
        </w:rPr>
        <w:t xml:space="preserve">Foster Community Partnerships:</w:t>
      </w:r>
      <w:r>
        <w:t xml:space="preserve"> </w:t>
      </w:r>
      <w:r>
        <w:t xml:space="preserve">Schools should actively partner with local NGOs and cultural centers to provide a holistic support network for both teachers and students.</w:t>
      </w:r>
    </w:p>
    <w:p>
      <w:pPr>
        <w:numPr>
          <w:ilvl w:val="0"/>
          <w:numId w:val="1002"/>
        </w:numPr>
        <w:pStyle w:val="Compact"/>
      </w:pPr>
      <w:r>
        <w:rPr>
          <w:bCs/>
          <w:b/>
        </w:rPr>
        <w:t xml:space="preserve">Create Peer Networks:</w:t>
      </w:r>
      <w:r>
        <w:t xml:space="preserve"> </w:t>
      </w:r>
      <w:r>
        <w:t xml:space="preserve">Establish regular forums where a</w:t>
      </w:r>
      <w:r>
        <w:t xml:space="preserve"> </w:t>
      </w:r>
      <w:r>
        <w:rPr>
          <w:bCs/>
          <w:b/>
        </w:rPr>
        <w:t xml:space="preserve">Teacher Secondary</w:t>
      </w:r>
    </w:p>
    <w:p>
      <w:pPr>
        <w:pStyle w:val="FirstParagraph"/>
      </w:pPr>
      <w:r>
        <w:t xml:space="preserve">7. Conclusion</w:t>
      </w:r>
    </w:p>
    <w:p>
      <w:pPr>
        <w:pStyle w:val="BodyText"/>
      </w:pPr>
      <w:r>
        <w:t xml:space="preserve">The role of a</w:t>
      </w:r>
      <w:r>
        <w:t xml:space="preserve"> </w:t>
      </w:r>
      <w:r>
        <w:rPr>
          <w:bCs/>
          <w:b/>
        </w:rPr>
        <w:t xml:space="preserve">Teacher Secondary</w:t>
      </w:r>
      <w:r>
        <w:t xml:space="preserve">France Marseille</w:t>
      </w:r>
      <w:r>
        <w:t xml:space="preserve"> </w:t>
      </w:r>
      <w:r>
        <w:t xml:space="preserve">By recognizing the unique challenges posed by Marseille’s diverse demographic landscape, stakeholders can better support teachers in their critical mission: fostering an inclusive learning environment where every student feels represented and empowered. This case study underscores that the effective integration of a</w:t>
      </w:r>
      <w:r>
        <w:t xml:space="preserve"> </w:t>
      </w:r>
      <w:r>
        <w:rPr>
          <w:bCs/>
          <w:b/>
        </w:rPr>
        <w:t xml:space="preserve">Teacher Secondary</w:t>
      </w:r>
    </w:p>
    <w:p>
      <w:pPr>
        <w:pStyle w:val="BodyText"/>
      </w:pPr>
      <w:r>
        <w:rPr>
          <w:iCs/>
          <w:i/>
        </w:rPr>
        <w:t xml:space="preserve">This document serves as a foundational guide for human resources departments, school principals, and educational policymakers focused on secondary education within the metropolitan area of Marseille.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Teacher Integration in France Marseille</dc:title>
  <dc:creator/>
  <dc:language>en</dc:language>
  <cp:keywords/>
  <dcterms:created xsi:type="dcterms:W3CDTF">2026-07-29T10:32:41Z</dcterms:created>
  <dcterms:modified xsi:type="dcterms:W3CDTF">2026-07-29T10:32:41Z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