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Secondary</w:t>
      </w:r>
      <w:r>
        <w:t xml:space="preserve"> </w:t>
      </w:r>
      <w:r>
        <w:t xml:space="preserve">in</w:t>
      </w:r>
      <w:r>
        <w:t xml:space="preserve"> </w:t>
      </w:r>
      <w:r>
        <w:t xml:space="preserve">Germany</w:t>
      </w:r>
      <w:r>
        <w:t xml:space="preserve"> </w:t>
      </w:r>
      <w:r>
        <w:t xml:space="preserve">Frankfurt</w:t>
      </w:r>
    </w:p>
    <w:bookmarkStart w:id="27" w:name="X13406250404b10f05e1b5f1cf562629031d680f"/>
    <w:p>
      <w:pPr>
        <w:pStyle w:val="Heading1"/>
      </w:pPr>
      <w:r>
        <w:t xml:space="preserve">A Comprehensive Case Study on the Secondary Teacher Profile in Germany, Frankfurt</w:t>
      </w:r>
    </w:p>
    <w:p>
      <w:pPr>
        <w:pStyle w:val="FirstParagraph"/>
      </w:pPr>
      <w:r>
        <w:t xml:space="preserve">This document serves as a detailed</w:t>
      </w:r>
      <w:r>
        <w:t xml:space="preserve"> </w:t>
      </w:r>
      <w:r>
        <w:rPr>
          <w:iCs/>
          <w:i/>
          <w:bCs/>
          <w:b/>
        </w:rPr>
        <w:t xml:space="preserve">Case Study</w:t>
      </w:r>
      <w:r>
        <w:t xml:space="preserve">, analyzing the professional landscape, cultural expectations, and practical challenges associated with working as a</w:t>
      </w:r>
      <w:r>
        <w:t xml:space="preserve"> </w:t>
      </w:r>
      <w:r>
        <w:rPr>
          <w:iCs/>
          <w:i/>
          <w:bCs/>
          <w:b/>
        </w:rPr>
        <w:t xml:space="preserve">Teacher Secondary</w:t>
      </w:r>
      <w:r>
        <w:t xml:space="preserve">. The geographical focus is strictly on the metropolitan context of</w:t>
      </w:r>
    </w:p>
    <w:p>
      <w:pPr>
        <w:pStyle w:val="BodyText"/>
      </w:pPr>
      <w:r>
        <w:rPr>
          <w:iCs/>
          <w:i/>
        </w:rPr>
        <w:t xml:space="preserve">Germany Frankfurt</w:t>
      </w:r>
      <w:r>
        <w:t xml:space="preserve">.</w:t>
      </w:r>
    </w:p>
    <w:bookmarkStart w:id="20" w:name="X83c5a6995b274fbff7e48e937d8a9964d055593"/>
    <w:p>
      <w:pPr>
        <w:pStyle w:val="Heading2"/>
      </w:pPr>
      <w:r>
        <w:t xml:space="preserve">I. Executive Summary and Contextual Background</w:t>
      </w:r>
    </w:p>
    <w:p>
      <w:pPr>
        <w:pStyle w:val="FirstParagraph"/>
      </w:pPr>
      <w:r>
        <w:t xml:space="preserve">Frankfurt am Main stands as the economic capital of Germany, renowned for its skyline, financial sector, and international diversity. However, beyond its corporate reputation lies a complex educational system that requires highly qualified educators. This</w:t>
      </w:r>
      <w:r>
        <w:t xml:space="preserve"> </w:t>
      </w:r>
      <w:r>
        <w:rPr>
          <w:iCs/>
          <w:i/>
          <w:bCs/>
          <w:b/>
        </w:rPr>
        <w:t xml:space="preserve">Case Study</w:t>
      </w:r>
      <w:r>
        <w:t xml:space="preserve"> </w:t>
      </w:r>
      <w:r>
        <w:t xml:space="preserve">explores the specific demands placed on a</w:t>
      </w:r>
      <w:r>
        <w:t xml:space="preserve"> </w:t>
      </w:r>
      <w:r>
        <w:rPr>
          <w:iCs/>
          <w:i/>
          <w:bCs/>
          <w:b/>
        </w:rPr>
        <w:t xml:space="preserve">Teacher Secondary</w:t>
      </w:r>
      <w:r>
        <w:t xml:space="preserve"> </w:t>
      </w:r>
      <w:r>
        <w:t xml:space="preserve">operating within this dynamic city in</w:t>
      </w:r>
    </w:p>
    <w:p>
      <w:pPr>
        <w:pStyle w:val="BodyText"/>
      </w:pPr>
      <w:r>
        <w:rPr>
          <w:iCs/>
          <w:i/>
        </w:rPr>
        <w:t xml:space="preserve">Germany Frankfurt</w:t>
      </w:r>
      <w:r>
        <w:t xml:space="preserve">.</w:t>
      </w:r>
    </w:p>
    <w:p>
      <w:pPr>
        <w:pStyle w:val="BodyText"/>
      </w:pPr>
      <w:r>
        <w:t xml:space="preserve">In recent years, the demand for secondary education teachers in Hesse (the state where Frankfurt is located) has intensified due to demographic shifts and an aging workforce. The role of a</w:t>
      </w:r>
      <w:r>
        <w:t xml:space="preserve"> </w:t>
      </w:r>
      <w:r>
        <w:rPr>
          <w:iCs/>
          <w:i/>
          <w:bCs/>
          <w:b/>
        </w:rPr>
        <w:t xml:space="preserve">Teacher Secondary</w:t>
      </w:r>
      <w:r>
        <w:t xml:space="preserve"> </w:t>
      </w:r>
      <w:r>
        <w:t xml:space="preserve">in this region is not merely about curriculum delivery; it involves navigating a multicultural classroom environment, adhering to strict German pedagogical standards, and integrating into the local community. This document argues that successful employment as a</w:t>
      </w:r>
    </w:p>
    <w:p>
      <w:pPr>
        <w:pStyle w:val="BodyText"/>
      </w:pPr>
      <w:r>
        <w:rPr>
          <w:iCs/>
          <w:i/>
        </w:rPr>
        <w:t xml:space="preserve">Teacher Secondary</w:t>
      </w:r>
      <w:r>
        <w:t xml:space="preserve"> </w:t>
      </w:r>
      <w:r>
        <w:t xml:space="preserve">in</w:t>
      </w:r>
    </w:p>
    <w:p>
      <w:pPr>
        <w:pStyle w:val="BodyText"/>
      </w:pPr>
      <w:r>
        <w:rPr>
          <w:iCs/>
          <w:i/>
        </w:rPr>
        <w:t xml:space="preserve">Germany Frankfurt</w:t>
      </w:r>
      <w:r>
        <w:t xml:space="preserve"> </w:t>
      </w:r>
      <w:r>
        <w:t xml:space="preserve">requires more than subject mastery; it demands cultural adaptability and linguistic proficiency.</w:t>
      </w:r>
    </w:p>
    <w:bookmarkEnd w:id="20"/>
    <w:bookmarkStart w:id="21" w:name="X905f98c85ff6f378c47dae2d969485b58b5cc99"/>
    <w:p>
      <w:pPr>
        <w:pStyle w:val="Heading2"/>
      </w:pPr>
      <w:r>
        <w:t xml:space="preserve">II. The Professional Landscape of Secondary Education in Hesse</w:t>
      </w:r>
    </w:p>
    <w:p>
      <w:pPr>
        <w:pStyle w:val="FirstParagraph"/>
      </w:pPr>
      <w:r>
        <w:t xml:space="preserve">To understand the role, one must first understand the system. In Germany, education is managed at the state level (Ländersache). Therefore, a</w:t>
      </w:r>
      <w:r>
        <w:t xml:space="preserve"> </w:t>
      </w:r>
      <w:r>
        <w:rPr>
          <w:iCs/>
          <w:i/>
          <w:bCs/>
          <w:b/>
        </w:rPr>
        <w:t xml:space="preserve">Teacher Secondary</w:t>
      </w:r>
      <w:r>
        <w:t xml:space="preserve"> </w:t>
      </w:r>
      <w:r>
        <w:t xml:space="preserve">in Frankfurt is governed by the regulations of the State of Hesse. The secondary sector includes various types of schools:</w:t>
      </w:r>
      <w:r>
        <w:t xml:space="preserve"> </w:t>
      </w:r>
      <w:r>
        <w:rPr>
          <w:iCs/>
          <w:i/>
        </w:rPr>
        <w:t xml:space="preserve">Gesamtschulen</w:t>
      </w:r>
      <w:r>
        <w:t xml:space="preserve"> </w:t>
      </w:r>
      <w:r>
        <w:t xml:space="preserve">(comprehensive schools),</w:t>
      </w:r>
      <w:r>
        <w:t xml:space="preserve"> </w:t>
      </w:r>
      <w:r>
        <w:rPr>
          <w:iCs/>
          <w:i/>
        </w:rPr>
        <w:t xml:space="preserve">Hauptschulen</w:t>
      </w:r>
      <w:r>
        <w:t xml:space="preserve">,</w:t>
      </w:r>
      <w:r>
        <w:t xml:space="preserve"> </w:t>
      </w:r>
      <w:r>
        <w:rPr>
          <w:bCs/>
          <w:b/>
        </w:rPr>
        <w:t xml:space="preserve">Gymnasien</w:t>
      </w:r>
      <w:r>
        <w:t xml:space="preserve"> </w:t>
      </w:r>
      <w:r>
        <w:t xml:space="preserve">(academic tracks), and</w:t>
      </w:r>
      <w:r>
        <w:rPr>
          <w:bCs/>
          <w:b/>
        </w:rPr>
        <w:t xml:space="preserve">Mittelschulen</w:t>
      </w:r>
      <w:r>
        <w:t xml:space="preserve"> </w:t>
      </w:r>
      <w:r>
        <w:t xml:space="preserve">(intermediate tracks).</w:t>
      </w:r>
    </w:p>
    <w:p>
      <w:pPr>
        <w:pStyle w:val="BodyText"/>
      </w:pPr>
      <w:r>
        <w:t xml:space="preserve">The case study highlights that in Frankfurt, the majority of new hires are placed in comprehensive schools or gymnasiums due to higher enrollment numbers. The responsibility of a</w:t>
      </w:r>
    </w:p>
    <w:p>
      <w:pPr>
        <w:pStyle w:val="BodyText"/>
      </w:pPr>
      <w:r>
        <w:rPr>
          <w:iCs/>
          <w:i/>
        </w:rPr>
        <w:t xml:space="preserve">Teacher Secondary</w:t>
      </w:r>
      <w:r>
        <w:t xml:space="preserve"> </w:t>
      </w:r>
      <w:r>
        <w:t xml:space="preserve">is rigorous. Unlike primary education, secondary teaching often involves moving between classrooms and managing students aged 10 to 18 who are undergoing critical adolescent development. In the context of</w:t>
      </w:r>
    </w:p>
    <w:p>
      <w:pPr>
        <w:pStyle w:val="BodyText"/>
      </w:pPr>
      <w:r>
        <w:rPr>
          <w:iCs/>
          <w:i/>
        </w:rPr>
        <w:t xml:space="preserve">Germany Frankfurt</w:t>
      </w:r>
      <w:r>
        <w:t xml:space="preserve">, teachers must also account for the high mobility of families due to the city's status as a global hub.</w:t>
      </w:r>
    </w:p>
    <w:p>
      <w:pPr>
        <w:pStyle w:val="BodyText"/>
      </w:pPr>
      <w:r>
        <w:rPr>
          <w:bCs/>
          <w:b/>
        </w:rPr>
        <w:t xml:space="preserve">Key Insight:</w:t>
      </w:r>
      <w:r>
        <w:t xml:space="preserve"> </w:t>
      </w:r>
      <w:r>
        <w:t xml:space="preserve">In</w:t>
      </w:r>
    </w:p>
    <w:p>
      <w:pPr>
        <w:pStyle w:val="BodyText"/>
      </w:pPr>
      <w:r>
        <w:rPr>
          <w:iCs/>
          <w:i/>
        </w:rPr>
        <w:t xml:space="preserve">Germany Frankfurt</w:t>
      </w:r>
      <w:r>
        <w:t xml:space="preserve">, the diversity of student backgrounds is significantly higher than in rural areas. A</w:t>
      </w:r>
    </w:p>
    <w:p>
      <w:pPr>
        <w:pStyle w:val="BodyText"/>
      </w:pPr>
      <w:r>
        <w:rPr>
          <w:iCs/>
          <w:i/>
        </w:rPr>
        <w:t xml:space="preserve">Teacher Secondary</w:t>
      </w:r>
      <w:r>
        <w:t xml:space="preserve"> </w:t>
      </w:r>
      <w:r>
        <w:t xml:space="preserve">must be prepared to handle students from over 100 different national origins, necessitating a pedagogical approach that values inclusivity and cross-cultural communication.</w:t>
      </w:r>
    </w:p>
    <w:bookmarkEnd w:id="21"/>
    <w:bookmarkStart w:id="22" w:name="X409220b83c3afb90b16c1c4b5e3ff7a4a4d810d"/>
    <w:p>
      <w:pPr>
        <w:pStyle w:val="Heading2"/>
      </w:pPr>
      <w:r>
        <w:t xml:space="preserve">III. Qualification Requirements and Credential Recognition</w:t>
      </w:r>
    </w:p>
    <w:p>
      <w:pPr>
        <w:pStyle w:val="FirstParagraph"/>
      </w:pPr>
      <w:r>
        <w:t xml:space="preserve">A central theme of this</w:t>
      </w:r>
    </w:p>
    <w:p>
      <w:pPr>
        <w:pStyle w:val="BodyText"/>
      </w:pPr>
      <w:r>
        <w:rPr>
          <w:iCs/>
          <w:i/>
        </w:rPr>
        <w:t xml:space="preserve">Case StudyTeacher Secondary</w:t>
      </w:r>
      <w:r>
        <w:t xml:space="preserve">, they must undergo a rigorous recognition process (Anerkennung). The state authorities in Hesse evaluate foreign degrees against German standards.</w:t>
      </w:r>
    </w:p>
    <w:p>
      <w:pPr>
        <w:pStyle w:val="BodyText"/>
      </w:pPr>
      <w:r>
        <w:t xml:space="preserve">This process is often lengthy and bureaucratic. A</w:t>
      </w:r>
    </w:p>
    <w:p>
      <w:pPr>
        <w:pStyle w:val="BodyText"/>
      </w:pPr>
      <w:r>
        <w:rPr>
          <w:iCs/>
          <w:i/>
        </w:rPr>
        <w:t xml:space="preserve">Teacher SecondaryGermany Frankfurt</w:t>
      </w:r>
      <w:r>
        <w:t xml:space="preserve"> </w:t>
      </w:r>
      <w:r>
        <w:t xml:space="preserve">job market from abroad.</w:t>
      </w:r>
    </w:p>
    <w:bookmarkEnd w:id="22"/>
    <w:bookmarkStart w:id="23" w:name="X901edf24d1c3e99f94b18978c5733dc1751f364"/>
    <w:p>
      <w:pPr>
        <w:pStyle w:val="Heading2"/>
      </w:pPr>
      <w:r>
        <w:t xml:space="preserve">IV. Cultural Dynamics and Classroom Management</w:t>
      </w:r>
    </w:p>
    <w:p>
      <w:pPr>
        <w:pStyle w:val="FirstParagraph"/>
      </w:pPr>
      <w:r>
        <w:t xml:space="preserve">Culture plays a pivotal role in the daily life of a</w:t>
      </w:r>
    </w:p>
    <w:p>
      <w:pPr>
        <w:pStyle w:val="BodyText"/>
      </w:pPr>
      <w:r>
        <w:rPr>
          <w:iCs/>
          <w:i/>
        </w:rPr>
        <w:t xml:space="preserve">Teacher Secondary</w:t>
      </w:r>
      <w:r>
        <w:t xml:space="preserve">. German educational philosophy emphasizes critical thinking, autonomy, and structured discipline. In Frankfurt's secondary schools, teachers are expected to foster an environment where students question ideas but respect established rules.</w:t>
      </w:r>
    </w:p>
    <w:p>
      <w:pPr>
        <w:pStyle w:val="BodyText"/>
      </w:pPr>
      <w:r>
        <w:t xml:space="preserve">The case study identifies three main cultural pillars for success:</w:t>
      </w:r>
    </w:p>
    <w:p>
      <w:pPr>
        <w:numPr>
          <w:ilvl w:val="0"/>
          <w:numId w:val="1001"/>
        </w:numPr>
        <w:pStyle w:val="Compact"/>
      </w:pPr>
      <w:r>
        <w:rPr>
          <w:bCs/>
          <w:b/>
        </w:rPr>
        <w:t xml:space="preserve">Punctuality and Structure:</w:t>
      </w:r>
      <w:r>
        <w:t xml:space="preserve"> </w:t>
      </w:r>
      <w:r>
        <w:t xml:space="preserve">Lessons must be planned meticulously. A</w:t>
      </w:r>
      <w:r>
        <w:t xml:space="preserve"> </w:t>
      </w:r>
      <w:r>
        <w:rPr>
          <w:iCs/>
          <w:i/>
          <w:bCs/>
          <w:b/>
        </w:rPr>
        <w:t xml:space="preserve">Teacher SecondaryGermany Frankfurt</w:t>
      </w:r>
    </w:p>
    <w:p>
      <w:pPr>
        <w:numPr>
          <w:ilvl w:val="0"/>
          <w:numId w:val="1001"/>
        </w:numPr>
        <w:pStyle w:val="Compact"/>
      </w:pPr>
      <w:r>
        <w:rPr>
          <w:bCs/>
          <w:b/>
        </w:rPr>
        <w:t xml:space="preserve">Straightforward Communication:</w:t>
      </w:r>
      <w:r>
        <w:t xml:space="preserve"> </w:t>
      </w:r>
      <w:r>
        <w:t xml:space="preserve">Feedback in German schools is often direct. Constructive criticism is valued over excessive praise. A</w:t>
      </w:r>
      <w:r>
        <w:t xml:space="preserve"> </w:t>
      </w:r>
      <w:r>
        <w:rPr>
          <w:iCs/>
          <w:i/>
          <w:bCs/>
          <w:b/>
        </w:rPr>
        <w:t xml:space="preserve">Teacher Secondary</w:t>
      </w:r>
    </w:p>
    <w:p>
      <w:pPr>
        <w:numPr>
          <w:ilvl w:val="0"/>
          <w:numId w:val="1001"/>
        </w:numPr>
        <w:pStyle w:val="Compact"/>
      </w:pPr>
      <w:r>
        <w:rPr>
          <w:bCs/>
          <w:b/>
        </w:rPr>
        <w:t xml:space="preserve">Inclusivity and Integration:</w:t>
      </w:r>
      <w:r>
        <w:t xml:space="preserve"> </w:t>
      </w:r>
      <w:r>
        <w:t xml:space="preserve">Given Frankfurt's international nature, teachers act as agents of social integration. They are expected to support students with migration backgrounds in achieving language proficiency while respecting their cultural heritage.</w:t>
      </w:r>
    </w:p>
    <w:bookmarkEnd w:id="23"/>
    <w:bookmarkStart w:id="24" w:name="Xb40a7a6e6572f224a46b234d306b9c6c1a2c27c"/>
    <w:p>
      <w:pPr>
        <w:pStyle w:val="Heading2"/>
      </w:pPr>
      <w:r>
        <w:t xml:space="preserve">V. Challenges Faced by the Modern Teacher</w:t>
      </w:r>
    </w:p>
    <w:p>
      <w:pPr>
        <w:pStyle w:val="FirstParagraph"/>
      </w:pPr>
      <w:r>
        <w:t xml:space="preserve">The</w:t>
      </w:r>
    </w:p>
    <w:p>
      <w:pPr>
        <w:pStyle w:val="BodyText"/>
      </w:pPr>
      <w:r>
        <w:rPr>
          <w:iCs/>
          <w:i/>
        </w:rPr>
        <w:t xml:space="preserve">Case StudyTeacher Secondary</w:t>
      </w:r>
      <w:r>
        <w:t xml:space="preserve">. Second, the increasing prevalence of behavioral issues requires teachers to possess strong conflict resolution skills and sometimes collaborate with social workers embedded in the school system.</w:t>
      </w:r>
    </w:p>
    <w:p>
      <w:pPr>
        <w:pStyle w:val="BodyText"/>
      </w:pPr>
      <w:r>
        <w:t xml:space="preserve">Additionally, administrative burdens are significant. German teachers spend considerable time on grading, documentation, and attending mandatory staff meetings (Dienstbesprechungen). This paperwork can detract from lesson preparation if not managed efficiently. Furthermore, the high cost of living in</w:t>
      </w:r>
      <w:r>
        <w:t xml:space="preserve"> </w:t>
      </w:r>
      <w:r>
        <w:rPr>
          <w:iCs/>
          <w:i/>
          <w:bCs/>
          <w:b/>
        </w:rPr>
        <w:t xml:space="preserve">Germany FrankfurtTeacher Secondary</w:t>
      </w:r>
    </w:p>
    <w:bookmarkEnd w:id="24"/>
    <w:bookmarkStart w:id="25" w:name="vi.-opportunities-and-future-outlook"/>
    <w:p>
      <w:pPr>
        <w:pStyle w:val="Heading2"/>
      </w:pPr>
      <w:r>
        <w:t xml:space="preserve">VI. Opportunities and Future Outlook</w:t>
      </w:r>
    </w:p>
    <w:p>
      <w:pPr>
        <w:pStyle w:val="FirstParagraph"/>
      </w:pPr>
      <w:r>
        <w:t xml:space="preserve">Despite these challenges, the prospect of working as a</w:t>
      </w:r>
      <w:r>
        <w:t xml:space="preserve"> </w:t>
      </w:r>
      <w:r>
        <w:rPr>
          <w:iCs/>
          <w:i/>
          <w:bCs/>
          <w:b/>
        </w:rPr>
        <w:t xml:space="preserve">Teacher Secondary</w:t>
      </w:r>
    </w:p>
    <w:p>
      <w:pPr>
        <w:pStyle w:val="BodyText"/>
      </w:pPr>
      <w:r>
        <w:t xml:space="preserve">The demand for teachers is projected to remain high due to retirement waves in the coming decade. For individuals who successfully navigate the recognition process and integrate into the local culture, a career as a</w:t>
      </w:r>
      <w:r>
        <w:t xml:space="preserve"> </w:t>
      </w:r>
      <w:r>
        <w:rPr>
          <w:iCs/>
          <w:i/>
          <w:bCs/>
          <w:b/>
        </w:rPr>
        <w:t xml:space="preserve">Teacher SecondaryGermany Frankfurt</w:t>
      </w:r>
    </w:p>
    <w:bookmarkEnd w:id="25"/>
    <w:bookmarkStart w:id="26" w:name="vii.-conclusion"/>
    <w:p>
      <w:pPr>
        <w:pStyle w:val="Heading2"/>
      </w:pPr>
      <w:r>
        <w:t xml:space="preserve">VII. Conclusion</w:t>
      </w:r>
    </w:p>
    <w:p>
      <w:pPr>
        <w:pStyle w:val="FirstParagraph"/>
      </w:pPr>
      <w:r>
        <w:t xml:space="preserve">In conclusion, this</w:t>
      </w:r>
      <w:r>
        <w:t xml:space="preserve"> </w:t>
      </w:r>
      <w:r>
        <w:rPr>
          <w:iCs/>
          <w:i/>
          <w:bCs/>
          <w:b/>
        </w:rPr>
        <w:t xml:space="preserve">Case StudyTeacher SecondaryGermany Frankfurt</w:t>
      </w:r>
    </w:p>
    <w:p>
      <w:pPr>
        <w:pStyle w:val="BodyText"/>
      </w:pPr>
      <w:r>
        <w:t xml:space="preserve">Stakeholders involved in teacher recruitment must recognize these specific nuances. Support systems that offer German language training alongside pedagogical mentoring can significantly ease the transition for international educators. Ultimately, the success of a</w:t>
      </w:r>
    </w:p>
    <w:p>
      <w:pPr>
        <w:pStyle w:val="BodyText"/>
      </w:pPr>
      <w:r>
        <w:rPr>
          <w:iCs/>
          <w:i/>
        </w:rPr>
        <w:t xml:space="preserve">Teacher SecondaryGermany Frankfurt</w:t>
      </w:r>
      <w:r>
        <w:t xml:space="preserve">.</w:t>
      </w:r>
    </w:p>
    <w:p>
      <w:pPr>
        <w:pStyle w:val="BodyText"/>
      </w:pPr>
      <w:r>
        <w:t xml:space="preserve">This document underscores that while the path is demanding, it is viable for those prepared to engage deeply with the local educational ecosystem. The future of secondary education in Frankfurt relies on attracting diverse, qualified, and culturally aware teachers who are ready to meet these complex challenges head-on.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Secondary in Germany Frankfurt</dc:title>
  <dc:creator/>
  <dc:language>en</dc:language>
  <cp:keywords/>
  <dcterms:created xsi:type="dcterms:W3CDTF">2026-07-29T12:01:11Z</dcterms:created>
  <dcterms:modified xsi:type="dcterms:W3CDTF">2026-07-29T12:01:11Z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