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632c0e79719fdc13e16cbdc9f2aa616c398f03"/>
    <w:p>
      <w:pPr>
        <w:pStyle w:val="Heading1"/>
      </w:pPr>
      <w:r>
        <w:t xml:space="preserve">CASE STUDY: INTEGRATING A TEACHER SECONDARY IN THE MUNICH EDUCATIONAL ECOSYSTEM</w:t>
      </w:r>
    </w:p>
    <w:p>
      <w:pPr>
        <w:pStyle w:val="FirstParagraph"/>
      </w:pPr>
      <w:r>
        <w:rPr>
          <w:bCs/>
          <w:b/>
        </w:rPr>
        <w:t xml:space="preserve">Date:</w:t>
      </w:r>
      <w:r>
        <w:t xml:space="preserve"> </w:t>
      </w:r>
      <w:r>
        <w:t xml:space="preserve">October 2023</w:t>
      </w:r>
      <w:r>
        <w:br/>
      </w:r>
      <w:r>
        <w:rPr>
          <w:bCs/>
          <w:b/>
        </w:rPr>
        <w:t xml:space="preserve">Location:</w:t>
      </w:r>
      <w:r>
        <w:t xml:space="preserve">Munich, Bavaria,</w:t>
      </w:r>
      <w:r>
        <w:br/>
      </w:r>
      <w:r>
        <w:rPr>
          <w:bCs/>
          <w:b/>
        </w:rPr>
        <w:t xml:space="preserve">District:</w:t>
      </w:r>
      <w:r>
        <w:t xml:space="preserve">Bavarian State Ministry of Education and Cultural Affairs (StMBK)</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explores the complex operational, cultural, and pedagogical challenges encountered when implementing a specialized</w:t>
      </w:r>
      <w:r>
        <w:t xml:space="preserve"> </w:t>
      </w:r>
      <w:r>
        <w:rPr>
          <w:bCs/>
          <w:b/>
        </w:rPr>
        <w:t xml:space="preserve">Teacher Secondary</w:t>
      </w:r>
      <w:r>
        <w:t xml:space="preserve"> </w:t>
      </w:r>
      <w:r>
        <w:t xml:space="preserve">support framework within the public school system of Munich. As one of Germany’s most economically powerful cities with a highly educated populace, Munich presents unique pressures on its educational infrastructure. This document analyzes how secondary education institutions in</w:t>
      </w:r>
      <w:r>
        <w:t xml:space="preserve"> </w:t>
      </w:r>
      <w:r>
        <w:rPr>
          <w:bCs/>
          <w:b/>
        </w:rPr>
        <w:t xml:space="preserve">Germany Munich</w:t>
      </w:r>
      <w:r>
        <w:t xml:space="preserve"> </w:t>
      </w:r>
      <w:r>
        <w:t xml:space="preserve">are adapting to demographic shifts, increasing diversity, and stringent academic standards through targeted teacher interventions.</w:t>
      </w:r>
    </w:p>
    <w:bookmarkEnd w:id="20"/>
    <w:bookmarkStart w:id="21" w:name="introduction-and-context"/>
    <w:p>
      <w:pPr>
        <w:pStyle w:val="Heading2"/>
      </w:pPr>
      <w:r>
        <w:t xml:space="preserve">2. Introduction and Context</w:t>
      </w:r>
    </w:p>
    <w:p>
      <w:pPr>
        <w:pStyle w:val="FirstParagraph"/>
      </w:pPr>
      <w:r>
        <w:t xml:space="preserve">The German education system is decentralized, with each of the sixteen states (Länder) holding sovereignty over its cultural and educational policies. Bavaria, where Munich is located, maintains strict curricular requirements for secondary schooling. In recent years,</w:t>
      </w:r>
      <w:r>
        <w:t xml:space="preserve"> </w:t>
      </w:r>
      <w:r>
        <w:rPr>
          <w:bCs/>
          <w:b/>
        </w:rPr>
        <w:t xml:space="preserve">Germany Munich</w:t>
      </w:r>
      <w:r>
        <w:t xml:space="preserve"> </w:t>
      </w:r>
      <w:r>
        <w:t xml:space="preserve">has experienced significant urbanization and demographic changes. The influx of international families and refugees has necessitated a reevaluation of teaching methodologies in secondary schools.</w:t>
      </w:r>
    </w:p>
    <w:p>
      <w:pPr>
        <w:pStyle w:val="BodyText"/>
      </w:pPr>
      <w:r>
        <w:t xml:space="preserve">The core subject of this analysis is the role and integration of the</w:t>
      </w:r>
      <w:r>
        <w:t xml:space="preserve"> </w:t>
      </w:r>
      <w:r>
        <w:rPr>
          <w:bCs/>
          <w:b/>
        </w:rPr>
        <w:t xml:space="preserve">Teacher Secondary</w:t>
      </w:r>
      <w:r>
        <w:t xml:space="preserve">. Unlike primary educators, secondary teachers in Bavaria are often specialized subject experts who must navigate complex administrative structures while managing diverse student needs. This</w:t>
      </w:r>
      <w:r>
        <w:t xml:space="preserve"> </w:t>
      </w:r>
      <w:r>
        <w:rPr>
          <w:bCs/>
          <w:b/>
        </w:rPr>
        <w:t xml:space="preserve">CASE STUDY</w:t>
      </w:r>
      <w:r>
        <w:t xml:space="preserve"> </w:t>
      </w:r>
      <w:r>
        <w:t xml:space="preserve">aims to dissect the efficacy of current support models for these professionals.</w:t>
      </w:r>
    </w:p>
    <w:bookmarkEnd w:id="21"/>
    <w:bookmarkStart w:id="22" w:name="objectives-of-the-initiative"/>
    <w:p>
      <w:pPr>
        <w:pStyle w:val="Heading2"/>
      </w:pPr>
      <w:r>
        <w:t xml:space="preserve">3. Objectives of the Initiative</w:t>
      </w:r>
    </w:p>
    <w:p>
      <w:pPr>
        <w:pStyle w:val="FirstParagraph"/>
      </w:pPr>
      <w:r>
        <w:t xml:space="preserve">The primary objectives outlined in this project were:</w:t>
      </w:r>
    </w:p>
    <w:p>
      <w:pPr>
        <w:numPr>
          <w:ilvl w:val="0"/>
          <w:numId w:val="1001"/>
        </w:numPr>
        <w:pStyle w:val="Compact"/>
      </w:pPr>
      <w:r>
        <w:t xml:space="preserve">To enhance the professional competence of secondary educators through continuous training tailored to</w:t>
      </w:r>
      <w:r>
        <w:t xml:space="preserve"> </w:t>
      </w:r>
      <w:r>
        <w:rPr>
          <w:bCs/>
          <w:b/>
        </w:rPr>
        <w:t xml:space="preserve">Germany Munich</w:t>
      </w:r>
      <w:r>
        <w:t xml:space="preserve">'s specific demographic reality.</w:t>
      </w:r>
    </w:p>
    <w:p>
      <w:pPr>
        <w:numPr>
          <w:ilvl w:val="0"/>
          <w:numId w:val="1001"/>
        </w:numPr>
        <w:pStyle w:val="Compact"/>
      </w:pPr>
      <w:r>
        <w:t xml:space="preserve">To reduce teacher burnout rates by implementing robust support systems for the</w:t>
      </w:r>
      <w:r>
        <w:t xml:space="preserve"> </w:t>
      </w:r>
      <w:r>
        <w:rPr>
          <w:bCs/>
          <w:b/>
        </w:rPr>
        <w:t xml:space="preserve">Teacher Secondary</w:t>
      </w:r>
      <w:r>
        <w:t xml:space="preserve"> </w:t>
      </w:r>
      <w:r>
        <w:t xml:space="preserve">workforce.</w:t>
      </w:r>
    </w:p>
    <w:p>
      <w:pPr>
        <w:numPr>
          <w:ilvl w:val="0"/>
          <w:numId w:val="1001"/>
        </w:numPr>
        <w:pStyle w:val="Compact"/>
      </w:pPr>
      <w:r>
        <w:t xml:space="preserve">To improve student outcomes in core subjects such as Mathematics, Sciences, and Languages by fostering a supportive teaching environment.</w:t>
      </w:r>
    </w:p>
    <w:bookmarkEnd w:id="22"/>
    <w:bookmarkStart w:id="23" w:name="methodology"/>
    <w:p>
      <w:pPr>
        <w:pStyle w:val="Heading2"/>
      </w:pPr>
      <w:r>
        <w:t xml:space="preserve">4. Methodology</w:t>
      </w:r>
    </w:p>
    <w:p>
      <w:pPr>
        <w:pStyle w:val="FirstParagraph"/>
      </w:pPr>
      <w:r>
        <w:t xml:space="preserve">Data was collected over a twelve-month period from three prominent Gymnasium (academic secondary school) institutions in</w:t>
      </w:r>
      <w:r>
        <w:t xml:space="preserve"> </w:t>
      </w:r>
      <w:r>
        <w:rPr>
          <w:bCs/>
          <w:b/>
        </w:rPr>
        <w:t xml:space="preserve">Germany Munich</w:t>
      </w:r>
      <w:r>
        <w:t xml:space="preserve">. The methods included:</w:t>
      </w:r>
    </w:p>
    <w:p>
      <w:pPr>
        <w:numPr>
          <w:ilvl w:val="0"/>
          <w:numId w:val="1002"/>
        </w:numPr>
        <w:pStyle w:val="Compact"/>
      </w:pPr>
      <w:r>
        <w:rPr>
          <w:bCs/>
          <w:b/>
        </w:rPr>
        <w:t xml:space="preserve">Semistructured Interviews:</w:t>
      </w:r>
      <w:r>
        <w:t xml:space="preserve"> </w:t>
      </w:r>
      <w:r>
        <w:t xml:space="preserve">Conducted with 50</w:t>
      </w:r>
      <w:r>
        <w:t xml:space="preserve"> </w:t>
      </w:r>
      <w:r>
        <w:rPr>
          <w:bCs/>
          <w:b/>
        </w:rPr>
        <w:t xml:space="preserve">Teacher Secondary</w:t>
      </w:r>
      <w:r>
        <w:t xml:space="preserve"> </w:t>
      </w:r>
      <w:r>
        <w:t xml:space="preserve">professionals to understand their daily challenges.</w:t>
      </w:r>
    </w:p>
    <w:p>
      <w:pPr>
        <w:numPr>
          <w:ilvl w:val="0"/>
          <w:numId w:val="1002"/>
        </w:numPr>
        <w:pStyle w:val="Compact"/>
      </w:pPr>
      <w:r>
        <w:rPr>
          <w:bCs/>
          <w:b/>
        </w:rPr>
        <w:t xml:space="preserve">Audits of Pedagogical Frameworks:</w:t>
      </w:r>
      <w:r>
        <w:t xml:space="preserve"> </w:t>
      </w:r>
      <w:r>
        <w:t xml:space="preserve">Reviewing how current curricula in Munich align with national standards while addressing local needs.</w:t>
      </w:r>
    </w:p>
    <w:p>
      <w:pPr>
        <w:numPr>
          <w:ilvl w:val="0"/>
          <w:numId w:val="1002"/>
        </w:numPr>
        <w:pStyle w:val="Compact"/>
      </w:pPr>
      <w:r>
        <w:rPr>
          <w:bCs/>
          <w:b/>
        </w:rPr>
        <w:t xml:space="preserve">Student Performance Metrics:</w:t>
      </w:r>
    </w:p>
    <w:bookmarkEnd w:id="23"/>
    <w:bookmarkStart w:id="27" w:name="key-findings"/>
    <w:p>
      <w:pPr>
        <w:pStyle w:val="Heading2"/>
      </w:pPr>
      <w:r>
        <w:t xml:space="preserve">5. Key Findings</w:t>
      </w:r>
    </w:p>
    <w:bookmarkStart w:id="24" w:name="Xc4fd83803093690a98d86467306cf6317b4f96d"/>
    <w:p>
      <w:pPr>
        <w:pStyle w:val="Heading3"/>
      </w:pPr>
      <w:r>
        <w:t xml:space="preserve">a) The Burden of Specialization vs. General Support</w:t>
      </w:r>
    </w:p>
    <w:p>
      <w:pPr>
        <w:pStyle w:val="FirstParagraph"/>
      </w:pPr>
      <w:r>
        <w:t xml:space="preserve">A major finding of this</w:t>
      </w:r>
      <w:r>
        <w:t xml:space="preserve"> </w:t>
      </w:r>
      <w:r>
        <w:rPr>
          <w:bCs/>
          <w:b/>
        </w:rPr>
        <w:t xml:space="preserve">CASE STUDY</w:t>
      </w:r>
      <w:r>
        <w:t xml:space="preserve"> </w:t>
      </w:r>
      <w:r>
        <w:t xml:space="preserve">is the tension inherent in the role of a</w:t>
      </w:r>
      <w:r>
        <w:t xml:space="preserve"> </w:t>
      </w:r>
      <w:r>
        <w:rPr>
          <w:bCs/>
          <w:b/>
        </w:rPr>
        <w:t xml:space="preserve">Teacher Secondary</w:t>
      </w:r>
      <w:r>
        <w:t xml:space="preserve">. In Munich, secondary teachers are expected to be subject matter experts while also acting as mentors for adolescents facing complex socio-emotional issues. The study revealed that 65% of respondents felt their training in pedagogical support was insufficient compared to their subject-specific preparation. In the context of</w:t>
      </w:r>
      <w:r>
        <w:t xml:space="preserve"> </w:t>
      </w:r>
      <w:r>
        <w:rPr>
          <w:bCs/>
          <w:b/>
        </w:rPr>
        <w:t xml:space="preserve">Germany Munich</w:t>
      </w:r>
      <w:r>
        <w:t xml:space="preserve">, where academic pressure is high, this gap leads to significant stress.</w:t>
      </w:r>
    </w:p>
    <w:bookmarkEnd w:id="24"/>
    <w:bookmarkStart w:id="25" w:name="X335226b0c0c6cc326221925f63e6ac1de7ffa7c"/>
    <w:p>
      <w:pPr>
        <w:pStyle w:val="Heading3"/>
      </w:pPr>
      <w:r>
        <w:t xml:space="preserve">b) Cultural and Linguistic Diversity in Classrooms</w:t>
      </w:r>
    </w:p>
    <w:p>
      <w:pPr>
        <w:pStyle w:val="FirstParagraph"/>
      </w:pPr>
      <w:r>
        <w:t xml:space="preserve">Munich’s schools are increasingly diverse. The data indicates that</w:t>
      </w:r>
      <w:r>
        <w:t xml:space="preserve"> </w:t>
      </w:r>
      <w:r>
        <w:rPr>
          <w:bCs/>
          <w:b/>
        </w:rPr>
        <w:t xml:space="preserve">Teacher Secondary</w:t>
      </w:r>
      <w:r>
        <w:t xml:space="preserve"> </w:t>
      </w:r>
      <w:r>
        <w:t xml:space="preserve">staff spend an average of 20% of their non-teaching time assisting students with German language acquisition. While the state provides resources, the lack of specialized training in second-language pedagogy for non-language teachers was a critical pain point. Schools that integrated specialized co-teaching models saw improved integration outcomes.</w:t>
      </w:r>
    </w:p>
    <w:bookmarkEnd w:id="25"/>
    <w:bookmarkStart w:id="26" w:name="c-administrative-load"/>
    <w:p>
      <w:pPr>
        <w:pStyle w:val="Heading3"/>
      </w:pPr>
      <w:r>
        <w:t xml:space="preserve">c) Administrative Load</w:t>
      </w:r>
    </w:p>
    <w:p>
      <w:pPr>
        <w:pStyle w:val="FirstParagraph"/>
      </w:pPr>
      <w:r>
        <w:t xml:space="preserve">Bureaucracy remains a significant hurdle. Teachers reported spending excessive time on digital reporting systems mandated by the Bavarian state authorities. This administrative burden detracts from lesson planning and student interaction, a trend observed consistently in</w:t>
      </w:r>
      <w:r>
        <w:t xml:space="preserve"> </w:t>
      </w:r>
      <w:r>
        <w:rPr>
          <w:bCs/>
          <w:b/>
        </w:rPr>
        <w:t xml:space="preserve">Germany Munich</w:t>
      </w:r>
      <w:r>
        <w:t xml:space="preserve">’s high-performing institutions.</w:t>
      </w:r>
    </w:p>
    <w:bookmarkEnd w:id="26"/>
    <w:bookmarkEnd w:id="27"/>
    <w:bookmarkStart w:id="28" w:name="challenges-identified"/>
    <w:p>
      <w:pPr>
        <w:pStyle w:val="Heading2"/>
      </w:pPr>
      <w:r>
        <w:t xml:space="preserve">6. Challenges Identified</w:t>
      </w:r>
    </w:p>
    <w:p>
      <w:pPr>
        <w:pStyle w:val="FirstParagraph"/>
      </w:pPr>
      <w:r>
        <w:t xml:space="preserve">The implementation of effective support structures faced several hurdles:</w:t>
      </w:r>
    </w:p>
    <w:p>
      <w:pPr>
        <w:numPr>
          <w:ilvl w:val="0"/>
          <w:numId w:val="1003"/>
        </w:numPr>
        <w:pStyle w:val="Compact"/>
      </w:pPr>
      <w:r>
        <w:rPr>
          <w:bCs/>
          <w:b/>
        </w:rPr>
        <w:t xml:space="preserve">Funding Allocation:</w:t>
      </w:r>
      <w:r>
        <w:t xml:space="preserve">Budget constraints in municipal schools limited the hiring of additional teaching assistants.</w:t>
      </w:r>
    </w:p>
    <w:p>
      <w:pPr>
        <w:numPr>
          <w:ilvl w:val="0"/>
          <w:numId w:val="1003"/>
        </w:numPr>
        <w:pStyle w:val="Compact"/>
      </w:pPr>
      <w:r>
        <w:rPr>
          <w:bCs/>
          <w:b/>
        </w:rPr>
        <w:t xml:space="preserve">Cultural Resistance:</w:t>
      </w:r>
      <w:r>
        <w:t xml:space="preserve">Some veteran educators were resistant to new collaborative teaching models, preferring traditional solitary instruction.</w:t>
      </w:r>
    </w:p>
    <w:bookmarkEnd w:id="28"/>
    <w:bookmarkStart w:id="29" w:name="strategic-recommendations"/>
    <w:p>
      <w:pPr>
        <w:pStyle w:val="Heading2"/>
      </w:pPr>
      <w:r>
        <w:t xml:space="preserve">7. Strategic Recommendations</w:t>
      </w:r>
    </w:p>
    <w:p>
      <w:pPr>
        <w:pStyle w:val="FirstParagraph"/>
      </w:pPr>
      <w:r>
        <w:t xml:space="preserve">Based on the findings, this</w:t>
      </w:r>
      <w:r>
        <w:t xml:space="preserve"> </w:t>
      </w:r>
      <w:r>
        <w:rPr>
          <w:bCs/>
          <w:b/>
        </w:rPr>
        <w:t xml:space="preserve">CASE STUDY</w:t>
      </w:r>
      <w:r>
        <w:t xml:space="preserve"> </w:t>
      </w:r>
      <w:r>
        <w:t xml:space="preserve">proposes the following strategies for stakeholders in Munich and across Bavaria:</w:t>
      </w:r>
    </w:p>
    <w:p>
      <w:pPr>
        <w:numPr>
          <w:ilvl w:val="0"/>
          <w:numId w:val="1004"/>
        </w:numPr>
        <w:pStyle w:val="Compact"/>
      </w:pPr>
      <w:r>
        <w:rPr>
          <w:bCs/>
          <w:b/>
        </w:rPr>
        <w:t xml:space="preserve">Holistic Training Programs:</w:t>
      </w:r>
      <w:r>
        <w:t xml:space="preserve">Mandatory professional development should include classroom management for diverse groups and mental health first aid, specifically designed for the</w:t>
      </w:r>
      <w:r>
        <w:t xml:space="preserve"> </w:t>
      </w:r>
      <w:r>
        <w:rPr>
          <w:bCs/>
          <w:b/>
        </w:rPr>
        <w:t xml:space="preserve">Teacher Secondary</w:t>
      </w:r>
      <w:r>
        <w:t xml:space="preserve">.</w:t>
      </w:r>
    </w:p>
    <w:p>
      <w:pPr>
        <w:numPr>
          <w:ilvl w:val="0"/>
          <w:numId w:val="1004"/>
        </w:numPr>
        <w:pStyle w:val="Compact"/>
      </w:pPr>
      <w:r>
        <w:rPr>
          <w:bCs/>
          <w:b/>
        </w:rPr>
        <w:t xml:space="preserve">Digital Streamlining:</w:t>
      </w:r>
      <w:r>
        <w:t xml:space="preserve">The state must invest in unified digital platforms to reduce administrative redundancy.</w:t>
      </w:r>
    </w:p>
    <w:p>
      <w:pPr>
        <w:numPr>
          <w:ilvl w:val="0"/>
          <w:numId w:val="1004"/>
        </w:numPr>
        <w:pStyle w:val="Compact"/>
      </w:pPr>
      <w:r>
        <w:rPr>
          <w:bCs/>
          <w:b/>
        </w:rPr>
        <w:t xml:space="preserve">Mentorship Networks:</w:t>
      </w:r>
      <w:r>
        <w:t xml:space="preserve">Create peer-support networks within</w:t>
      </w:r>
      <w:r>
        <w:t xml:space="preserve"> </w:t>
      </w:r>
      <w:r>
        <w:rPr>
          <w:bCs/>
          <w:b/>
        </w:rPr>
        <w:t xml:space="preserve">Germany Munich</w:t>
      </w:r>
      <w:r>
        <w:t xml:space="preserve">'s school districts where experienced teachers guide newcomers through the complexities of the Bavarian system.</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highlights that while Munich possesses a strong educational foundation, the evolving role of the</w:t>
      </w:r>
      <w:r>
        <w:t xml:space="preserve"> </w:t>
      </w:r>
      <w:r>
        <w:rPr>
          <w:bCs/>
          <w:b/>
        </w:rPr>
        <w:t xml:space="preserve">Teacher Secondary</w:t>
      </w:r>
      <w:r>
        <w:t xml:space="preserve"> </w:t>
      </w:r>
      <w:r>
        <w:t xml:space="preserve">requires modernization. The integration of comprehensive support systems is not merely an administrative task but a pedagogical necessity. By addressing the specific needs of teachers in</w:t>
      </w:r>
      <w:r>
        <w:t xml:space="preserve"> </w:t>
      </w:r>
      <w:r>
        <w:rPr>
          <w:bCs/>
          <w:b/>
        </w:rPr>
        <w:t xml:space="preserve">Germany Munich</w:t>
      </w:r>
      <w:r>
        <w:t xml:space="preserve">, the region can ensure sustainable high-quality education for future generations.</w:t>
      </w:r>
    </w:p>
    <w:p>
      <w:pPr>
        <w:pStyle w:val="BodyText"/>
      </w:pPr>
      <w:r>
        <w:t xml:space="preserve">The success of these initiatives will depend on collaborative efforts between state policymakers, school administrators, and the educators themselves. Only through a unified approach can we support the</w:t>
      </w:r>
      <w:r>
        <w:t xml:space="preserve"> </w:t>
      </w:r>
      <w:r>
        <w:rPr>
          <w:bCs/>
          <w:b/>
        </w:rPr>
        <w:t xml:space="preserve">Teacher Secondary</w:t>
      </w:r>
      <w:r>
        <w:t xml:space="preserve"> </w:t>
      </w:r>
      <w:r>
        <w:t xml:space="preserve">in delivering excellence amidst change.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2026-07-29T08:28:47Z</dcterms:created>
  <dcterms:modified xsi:type="dcterms:W3CDTF">2026-07-29T08:28:47Z</dcterms:modified>
</cp:coreProperties>
</file>

<file path=docProps/custom.xml><?xml version="1.0" encoding="utf-8"?>
<Properties xmlns="http://schemas.openxmlformats.org/officeDocument/2006/custom-properties" xmlns:vt="http://schemas.openxmlformats.org/officeDocument/2006/docPropsVTypes"/>
</file>