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India</w:t>
      </w:r>
      <w:r>
        <w:t xml:space="preserve"> </w:t>
      </w:r>
      <w:r>
        <w:t xml:space="preserve">New</w:t>
      </w:r>
      <w:r>
        <w:t xml:space="preserve"> </w:t>
      </w:r>
      <w:r>
        <w:t xml:space="preserve">Delhi</w:t>
      </w:r>
    </w:p>
    <w:bookmarkStart w:id="30" w:name="X58e90f8d5050a2c3cfad8fb840af74b20b89cd0"/>
    <w:p>
      <w:pPr>
        <w:pStyle w:val="Heading1"/>
      </w:pPr>
      <w:r>
        <w:t xml:space="preserve">Educational Transformation in the Capital</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India New Delhi</w:t>
      </w:r>
      <w:r>
        <w:br/>
      </w:r>
      <w:r>
        <w:rPr>
          <w:bCs/>
          <w:b/>
        </w:rPr>
        <w:t xml:space="preserve">Focal Point:</w:t>
      </w:r>
      <w:r>
        <w:t xml:space="preserve"> </w:t>
      </w:r>
      <w:r>
        <w:t xml:space="preserve">Teacher Secondary Education Reform</w:t>
      </w:r>
    </w:p>
    <w:bookmarkStart w:id="20" w:name="executive-summary"/>
    <w:p>
      <w:pPr>
        <w:pStyle w:val="Heading2"/>
      </w:pPr>
      <w:r>
        <w:t xml:space="preserve">1. Executive Summary</w:t>
      </w:r>
    </w:p>
    <w:p>
      <w:pPr>
        <w:pStyle w:val="FirstParagraph"/>
      </w:pPr>
      <w:r>
        <w:t xml:space="preserve">The educational landscape in urban centers across the developing world is undergoing a seismic shift, nowhere more apparent than in the bustling capital of India. This document presents a comprehensive Case Study focused on the evolving role, challenges, and strategic interventions required for Teacher Secondary education within</w:t>
      </w:r>
      <w:r>
        <w:t xml:space="preserve"> </w:t>
      </w:r>
      <w:r>
        <w:t xml:space="preserve">India New Delhi</w:t>
      </w:r>
      <w:r>
        <w:t xml:space="preserve">. As one of the most densely populated metropolitan areas globally, New Delhi serves as a microcosm of India’s broader educational ambitions. The primary objective of this analysis is to examine how the pedagogical standards for secondary level instruction are being redefined, specifically targeting the</w:t>
      </w:r>
      <w:r>
        <w:t xml:space="preserve"> </w:t>
      </w:r>
      <w:r>
        <w:t xml:space="preserve">Teacher Secondary</w:t>
      </w:r>
      <w:r>
        <w:t xml:space="preserve"> </w:t>
      </w:r>
      <w:r>
        <w:t xml:space="preserve">demographic. By analyzing current methodologies, technological integration, and socio-economic hurdles, we aim to provide actionable insights for policymakers and educational institutions.</w:t>
      </w:r>
    </w:p>
    <w:bookmarkEnd w:id="20"/>
    <w:bookmarkStart w:id="21" w:name="Xf385920dc5b8584394a32271bed27ffd0660674"/>
    <w:p>
      <w:pPr>
        <w:pStyle w:val="Heading2"/>
      </w:pPr>
      <w:r>
        <w:t xml:space="preserve">2. Contextual Background: The Urban Challenge</w:t>
      </w:r>
    </w:p>
    <w:p>
      <w:pPr>
        <w:pStyle w:val="FirstParagraph"/>
      </w:pPr>
      <w:r>
        <w:t xml:space="preserve">India New Delhi</w:t>
      </w:r>
      <w:r>
        <w:t xml:space="preserve"> </w:t>
      </w:r>
      <w:r>
        <w:t xml:space="preserve">is a city of stark contrasts. While it boasts some of the premier international schools in the country, it also contains sprawling urban pockets where infrastructure struggles to keep pace with population growth. The secondary education sector (grades 9 through 12) acts as a critical bridge between foundational learning and higher education or vocational entry.</w:t>
      </w:r>
    </w:p>
    <w:p>
      <w:pPr>
        <w:pStyle w:val="BodyText"/>
      </w:pPr>
      <w:r>
        <w:t xml:space="preserve">In this specific geographic context, the demand for quality teaching is exponentially high. However, the supply of highly qualified educators who can adapt to modern pedagogical requirements remains strained. The Case Study identifies that in</w:t>
      </w:r>
      <w:r>
        <w:t xml:space="preserve"> </w:t>
      </w:r>
      <w:r>
        <w:t xml:space="preserve">India New Delhi</w:t>
      </w:r>
      <w:r>
        <w:t xml:space="preserve">, students are often exposed to diverse curricula ranging from the Central Board of Secondary Education (CBSE) to the Council for the Indian School Certificate Examinations (CISCE), and state boards. This diversity necessitates a flexible and robust framework for</w:t>
      </w:r>
      <w:r>
        <w:t xml:space="preserve"> </w:t>
      </w:r>
      <w:r>
        <w:t xml:space="preserve">Teacher Secondary</w:t>
      </w:r>
      <w:r>
        <w:t xml:space="preserve"> </w:t>
      </w:r>
      <w:r>
        <w:t xml:space="preserve">training, ensuring that educators are not only subject-matter experts but also culturally responsive facilitators.</w:t>
      </w:r>
    </w:p>
    <w:bookmarkEnd w:id="21"/>
    <w:bookmarkStart w:id="22" w:name="the-role-of-the-modern-teacher-secondary"/>
    <w:p>
      <w:pPr>
        <w:pStyle w:val="Heading2"/>
      </w:pPr>
      <w:r>
        <w:t xml:space="preserve">3. The Role of the Modern Teacher Secondary</w:t>
      </w:r>
    </w:p>
    <w:p>
      <w:pPr>
        <w:pStyle w:val="FirstParagraph"/>
      </w:pPr>
      <w:r>
        <w:t xml:space="preserve">The definition of a secondary teacher in contemporary India has expanded far beyond traditional lecturing. In the context of this Case Study, we analyze three key dimensions of the modern</w:t>
      </w:r>
      <w:r>
        <w:t xml:space="preserve"> </w:t>
      </w:r>
      <w:r>
        <w:t xml:space="preserve">Teacher Secondary</w:t>
      </w:r>
      <w:r>
        <w:t xml:space="preserve">:</w:t>
      </w:r>
    </w:p>
    <w:p>
      <w:pPr>
        <w:numPr>
          <w:ilvl w:val="0"/>
          <w:numId w:val="1001"/>
        </w:numPr>
        <w:pStyle w:val="Compact"/>
      </w:pPr>
      <w:r>
        <w:rPr>
          <w:bCs/>
          <w:b/>
        </w:rPr>
        <w:t xml:space="preserve">Cognitive Facilitators:</w:t>
      </w:r>
      <w:r>
        <w:t xml:space="preserve"> </w:t>
      </w:r>
      <w:r>
        <w:t xml:space="preserve">With information readily available via digital devices, the role has shifted from content delivery to critical thinking facilitation. Teachers must guide students in analyzing data, not just memorizing facts.</w:t>
      </w:r>
    </w:p>
    <w:p>
      <w:pPr>
        <w:numPr>
          <w:ilvl w:val="0"/>
          <w:numId w:val="1001"/>
        </w:numPr>
        <w:pStyle w:val="Compact"/>
      </w:pPr>
      <w:r>
        <w:rPr>
          <w:bCs/>
          <w:b/>
        </w:rPr>
        <w:t xml:space="preserve">Digital Integrators:</w:t>
      </w:r>
      <w:r>
        <w:t xml:space="preserve"> </w:t>
      </w:r>
      <w:r>
        <w:t xml:space="preserve">Post-pandemic recovery in</w:t>
      </w:r>
      <w:r>
        <w:t xml:space="preserve"> </w:t>
      </w:r>
      <w:r>
        <w:t xml:space="preserve">India New Delhi</w:t>
      </w:r>
      <w:r>
        <w:t xml:space="preserve"> </w:t>
      </w:r>
      <w:r>
        <w:t xml:space="preserve">has accelerated digital adoption. A proficient</w:t>
      </w:r>
      <w:r>
        <w:t xml:space="preserve"> </w:t>
      </w:r>
      <w:r>
        <w:t xml:space="preserve">Teacher Secondary</w:t>
      </w:r>
      <w:r>
        <w:t xml:space="preserve"> </w:t>
      </w:r>
      <w:r>
        <w:t xml:space="preserve">must be adept at using Learning Management Systems (LMS), hybrid teaching models, and interactive smart boards effectively.</w:t>
      </w:r>
    </w:p>
    <w:p>
      <w:pPr>
        <w:numPr>
          <w:ilvl w:val="0"/>
          <w:numId w:val="1001"/>
        </w:numPr>
        <w:pStyle w:val="Compact"/>
      </w:pPr>
      <w:r>
        <w:rPr>
          <w:bCs/>
          <w:b/>
        </w:rPr>
        <w:t xml:space="preserve">Socio-Emotional Mentors:</w:t>
      </w:r>
      <w:r>
        <w:t xml:space="preserve"> </w:t>
      </w:r>
      <w:r>
        <w:t xml:space="preserve">Adolescents in a high-pressure academic environment like New Delhi face significant stress. The secondary teacher is increasingly expected to provide mentorship, addressing mental health and career counseling needs.</w:t>
      </w:r>
    </w:p>
    <w:bookmarkEnd w:id="22"/>
    <w:bookmarkStart w:id="26" w:name="key-challenges-identified"/>
    <w:p>
      <w:pPr>
        <w:pStyle w:val="Heading2"/>
      </w:pPr>
      <w:r>
        <w:t xml:space="preserve">4. Key Challenges Identified</w:t>
      </w:r>
    </w:p>
    <w:p>
      <w:pPr>
        <w:pStyle w:val="FirstParagraph"/>
      </w:pPr>
      <w:r>
        <w:t xml:space="preserve">The analysis of the current ecosystem reveals several persistent barriers affecting the efficacy of Teacher Secondary programs in</w:t>
      </w:r>
      <w:r>
        <w:t xml:space="preserve"> </w:t>
      </w:r>
      <w:r>
        <w:t xml:space="preserve">India New Delhi</w:t>
      </w:r>
      <w:r>
        <w:t xml:space="preserve">:</w:t>
      </w:r>
    </w:p>
    <w:bookmarkStart w:id="23" w:name="a.-resource-disparity"/>
    <w:p>
      <w:pPr>
        <w:pStyle w:val="Heading3"/>
      </w:pPr>
      <w:r>
        <w:t xml:space="preserve">A. Resource Disparity</w:t>
      </w:r>
    </w:p>
    <w:p>
      <w:pPr>
        <w:pStyle w:val="FirstParagraph"/>
      </w:pPr>
      <w:r>
        <w:t xml:space="preserve">There is a significant gap between affluent private institutions and government-run or low-cost private schools. While elite schools provide advanced training for their staff, teachers in under-resourced areas often lack basic digital tools, making it difficult to implement the innovative methods recommended in modern Teacher Secondary frameworks.</w:t>
      </w:r>
    </w:p>
    <w:bookmarkEnd w:id="23"/>
    <w:bookmarkStart w:id="24" w:name="X9eee049f7d324864928a84bb843b0a69dee409d"/>
    <w:p>
      <w:pPr>
        <w:pStyle w:val="Heading3"/>
      </w:pPr>
      <w:r>
        <w:t xml:space="preserve">B. Curriculum Overload vs. Depth of Understanding</w:t>
      </w:r>
    </w:p>
    <w:p>
      <w:pPr>
        <w:pStyle w:val="FirstParagraph"/>
      </w:pPr>
      <w:r>
        <w:t xml:space="preserve">The secondary curriculum in India is notoriously vast and competitive. Teachers often feel pressured to "cover" the syllabus rather than ensure deep conceptual understanding. This rush compromises the quality of instruction, a major concern in any comprehensive Case Study regarding secondary education.</w:t>
      </w:r>
    </w:p>
    <w:bookmarkEnd w:id="24"/>
    <w:bookmarkStart w:id="25" w:name="c.-professional-development-gaps"/>
    <w:p>
      <w:pPr>
        <w:pStyle w:val="Heading3"/>
      </w:pPr>
      <w:r>
        <w:t xml:space="preserve">C. Professional Development Gaps</w:t>
      </w:r>
    </w:p>
    <w:p>
      <w:pPr>
        <w:pStyle w:val="FirstParagraph"/>
      </w:pPr>
      <w:r>
        <w:t xml:space="preserve">Many Teacher Secondary professionals in</w:t>
      </w:r>
      <w:r>
        <w:t xml:space="preserve"> </w:t>
      </w:r>
      <w:r>
        <w:t xml:space="preserve">India New Delhi</w:t>
      </w:r>
      <w:r>
        <w:t xml:space="preserve"> </w:t>
      </w:r>
      <w:r>
        <w:t xml:space="preserve">undergo initial training that is outdated. Continuous professional development (CPD) is often viewed as a checkbox exercise rather than a meaningful pathway for growth. There is an urgent need for localized, practical CPD modules.</w:t>
      </w:r>
    </w:p>
    <w:bookmarkEnd w:id="25"/>
    <w:bookmarkEnd w:id="26"/>
    <w:bookmarkStart w:id="27" w:name="X18c7a870ed993125dd480ee126ed1de49415806"/>
    <w:p>
      <w:pPr>
        <w:pStyle w:val="Heading2"/>
      </w:pPr>
      <w:r>
        <w:t xml:space="preserve">5. Strategic Interventions and Recommendations</w:t>
      </w:r>
    </w:p>
    <w:p>
      <w:pPr>
        <w:pStyle w:val="FirstParagraph"/>
      </w:pPr>
      <w:r>
        <w:t xml:space="preserve">To address these challenges, this Case Study proposes a multi-faceted approach tailored specifically to the dynamics of</w:t>
      </w:r>
      <w:r>
        <w:t xml:space="preserve"> </w:t>
      </w:r>
      <w:r>
        <w:t xml:space="preserve">India New Delhi</w:t>
      </w:r>
      <w:r>
        <w:t xml:space="preserve">:</w:t>
      </w:r>
    </w:p>
    <w:p>
      <w:pPr>
        <w:numPr>
          <w:ilvl w:val="0"/>
          <w:numId w:val="1002"/>
        </w:numPr>
        <w:pStyle w:val="Compact"/>
      </w:pPr>
      <w:r>
        <w:rPr>
          <w:bCs/>
          <w:b/>
        </w:rPr>
        <w:t xml:space="preserve">Harnessing Technology for Equity:</w:t>
      </w:r>
      <w:r>
        <w:t xml:space="preserve"> </w:t>
      </w:r>
      <w:r>
        <w:t xml:space="preserve">Leveraging government initiatives like DIKSHA (Digital Infrastructure for Knowledge Sharing) to provide free, high-quality digital resources. Schools must mandate training sessions where senior faculty mentor junior staff on integrating these tools.</w:t>
      </w:r>
    </w:p>
    <w:p>
      <w:pPr>
        <w:numPr>
          <w:ilvl w:val="0"/>
          <w:numId w:val="1002"/>
        </w:numPr>
        <w:pStyle w:val="Compact"/>
      </w:pPr>
      <w:r>
        <w:rPr>
          <w:bCs/>
          <w:b/>
        </w:rPr>
        <w:t xml:space="preserve">Mentorship Networks:</w:t>
      </w:r>
      <w:r>
        <w:t xml:space="preserve"> </w:t>
      </w:r>
      <w:r>
        <w:t xml:space="preserve">Establishing district-level mentorship networks where experienced</w:t>
      </w:r>
      <w:r>
        <w:t xml:space="preserve"> </w:t>
      </w:r>
      <w:r>
        <w:t xml:space="preserve">Teacher Secondary</w:t>
      </w:r>
      <w:r>
        <w:t xml:space="preserve"> </w:t>
      </w:r>
      <w:r>
        <w:t xml:space="preserve">educators can share best practices. This peer-to-peer learning model fosters a sense of community and reduces professional isolation.</w:t>
      </w:r>
    </w:p>
    <w:p>
      <w:pPr>
        <w:numPr>
          <w:ilvl w:val="0"/>
          <w:numId w:val="1002"/>
        </w:numPr>
        <w:pStyle w:val="Compact"/>
      </w:pPr>
      <w:r>
        <w:rPr>
          <w:bCs/>
          <w:b/>
        </w:rPr>
        <w:t xml:space="preserve">Pedagogical Shift toward Inquiry-Based Learning:</w:t>
      </w:r>
      <w:r>
        <w:t xml:space="preserve"> </w:t>
      </w:r>
      <w:r>
        <w:t xml:space="preserve">Training modules should focus on reducing curriculum coverage pressure by teaching teachers how to prioritize core competencies. By focusing on depth over breadth, student retention improves, ultimately saving instructional time.</w:t>
      </w:r>
    </w:p>
    <w:p>
      <w:pPr>
        <w:numPr>
          <w:ilvl w:val="0"/>
          <w:numId w:val="1002"/>
        </w:numPr>
        <w:pStyle w:val="Compact"/>
      </w:pPr>
      <w:r>
        <w:rPr>
          <w:bCs/>
          <w:b/>
        </w:rPr>
        <w:t xml:space="preserve">Acknowledgment and Incentivization:</w:t>
      </w:r>
      <w:r>
        <w:t xml:space="preserve"> </w:t>
      </w:r>
      <w:r>
        <w:t xml:space="preserve">The government and private bodies must recognize the unique challenges of teaching in a metropolitan hub like New Delhi. Performance-linked incentives that reward innovation in the classroom rather than just exam results are crucial for motivating the workforce.</w:t>
      </w:r>
    </w:p>
    <w:bookmarkEnd w:id="27"/>
    <w:bookmarkStart w:id="28" w:name="impact-assessment-framework"/>
    <w:p>
      <w:pPr>
        <w:pStyle w:val="Heading2"/>
      </w:pPr>
      <w:r>
        <w:t xml:space="preserve">6. Impact Assessment Framework</w:t>
      </w:r>
    </w:p>
    <w:p>
      <w:pPr>
        <w:pStyle w:val="FirstParagraph"/>
      </w:pPr>
      <w:r>
        <w:t xml:space="preserve">Evaluating the success of these interventions requires robust metrics. For a Case Study of this magnitude, we propose measuring outcomes through:</w:t>
      </w:r>
    </w:p>
    <w:p>
      <w:pPr>
        <w:numPr>
          <w:ilvl w:val="0"/>
          <w:numId w:val="1003"/>
        </w:numPr>
        <w:pStyle w:val="Compact"/>
      </w:pPr>
      <w:r>
        <w:rPr>
          <w:bCs/>
          <w:b/>
        </w:rPr>
        <w:t xml:space="preserve">Student Engagement Metrics:</w:t>
      </w:r>
      <w:r>
        <w:t xml:space="preserve"> </w:t>
      </w:r>
      <w:r>
        <w:t xml:space="preserve">Attendance rates and participation levels in class discussions.</w:t>
      </w:r>
    </w:p>
    <w:p>
      <w:pPr>
        <w:numPr>
          <w:ilvl w:val="0"/>
          <w:numId w:val="1003"/>
        </w:numPr>
        <w:pStyle w:val="Compact"/>
      </w:pPr>
      <w:r>
        <w:rPr>
          <w:bCs/>
          <w:b/>
        </w:rPr>
        <w:t xml:space="preserve">Tech Adoption Rates:</w:t>
      </w:r>
      <w:r>
        <w:t xml:space="preserve"> </w:t>
      </w:r>
      <w:r>
        <w:t xml:space="preserve">Frequency and variety of digital tools utilized by the Teacher Secondary staff.</w:t>
      </w:r>
    </w:p>
    <w:p>
      <w:pPr>
        <w:numPr>
          <w:ilvl w:val="0"/>
          <w:numId w:val="1003"/>
        </w:numPr>
        <w:pStyle w:val="Compact"/>
      </w:pPr>
      <w:r>
        <w:rPr>
          <w:bCs/>
          <w:b/>
        </w:rPr>
        <w:t xml:space="preserve">Socio-Emotional Well-being:</w:t>
      </w:r>
      <w:r>
        <w:t xml:space="preserve"> </w:t>
      </w:r>
      <w:r>
        <w:t xml:space="preserve">Surveys conducted among students regarding their comfort level with teachers as mentors.</w:t>
      </w:r>
    </w:p>
    <w:bookmarkEnd w:id="28"/>
    <w:bookmarkStart w:id="29" w:name="conclusion"/>
    <w:p>
      <w:pPr>
        <w:pStyle w:val="Heading2"/>
      </w:pPr>
      <w:r>
        <w:t xml:space="preserve">7. Conclusion</w:t>
      </w:r>
    </w:p>
    <w:p>
      <w:pPr>
        <w:pStyle w:val="FirstParagraph"/>
      </w:pPr>
      <w:r>
        <w:t xml:space="preserve">The future of education in</w:t>
      </w:r>
      <w:r>
        <w:t xml:space="preserve"> </w:t>
      </w:r>
      <w:r>
        <w:t xml:space="preserve">India New Delhi</w:t>
      </w:r>
      <w:r>
        <w:t xml:space="preserve"> </w:t>
      </w:r>
      <w:r>
        <w:t xml:space="preserve">hinges on the capacity and capability of its secondary educators. This Case Study underscores that the role of the Teacher Secondary is no longer static; it is dynamic, demanding, and deeply impactful. By addressing infrastructure gaps, updating professional development frameworks, and acknowledging the socio-economic realities of teaching in a megacity, stakeholders can drive meaningful change.</w:t>
      </w:r>
    </w:p>
    <w:p>
      <w:pPr>
        <w:pStyle w:val="BodyText"/>
      </w:pPr>
      <w:r>
        <w:t xml:space="preserve">The recommendations outlined herein suggest that with targeted investment in human capital—specifically within the realm of Teacher Secondary education—New Delhi can serve as a model for other urban centers in India. The transformation is not merely about improving test scores; it is about nurturing critical thinkers and resilient young adults ready to contribute to the nation's future. The journey requires collaboration between policymakers, school administrators, and the teachers themselves, united by a common goal: excellence in secondary education.</w:t>
      </w:r>
    </w:p>
    <w:p>
      <w:pPr>
        <w:pStyle w:val="BodyText"/>
      </w:pPr>
      <w:r>
        <w:rPr>
          <w:iCs/>
          <w:i/>
        </w:rPr>
        <w:t xml:space="preserve">End of Case Study Document regarding Teacher Secondary Education in India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India New Delhi</dc:title>
  <dc:creator/>
  <dc:language>en</dc:language>
  <cp:keywords/>
  <dcterms:created xsi:type="dcterms:W3CDTF">2026-07-29T15:59:53Z</dcterms:created>
  <dcterms:modified xsi:type="dcterms:W3CDTF">2026-07-29T15:59:53Z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