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Iran</w:t>
      </w:r>
      <w:r>
        <w:t xml:space="preserve"> </w:t>
      </w:r>
      <w:r>
        <w:t xml:space="preserve">Tehran</w:t>
      </w:r>
    </w:p>
    <w:bookmarkStart w:id="33" w:name="Xd0b15ad5b4feb8a245f5a9231561771173a7efa"/>
    <w:p>
      <w:pPr>
        <w:pStyle w:val="Heading1"/>
      </w:pPr>
      <w:r>
        <w:t xml:space="preserve">Bridging Tradition and Modernity in the Classroom</w:t>
      </w:r>
      <w:r>
        <w:br/>
      </w:r>
      <w:r>
        <w:t xml:space="preserve">A Case Study on Teacher Secondary Education in Iran, Tehran</w:t>
      </w:r>
    </w:p>
    <w:p>
      <w:pPr>
        <w:pStyle w:val="FirstParagraph"/>
      </w:pPr>
      <w:r>
        <w:rPr>
          <w:bCs/>
          <w:b/>
        </w:rPr>
        <w:t xml:space="preserve">Abstract:</w:t>
      </w:r>
      <w:r>
        <w:t xml:space="preserve"> </w:t>
      </w:r>
      <w:r>
        <w:t xml:space="preserve">This document explores the critical role of secondary teacher training within the complex socio-political and educational landscape of Iran, specifically focusing on the capital city of Tehran. It examines how modern pedagogical strategies are being integrated into traditional frameworks to meet the demands of a digital-native student population while respecting cultural heritage.</w:t>
      </w:r>
    </w:p>
    <w:bookmarkStart w:id="20" w:name="introduction"/>
    <w:p>
      <w:pPr>
        <w:pStyle w:val="Heading2"/>
      </w:pPr>
      <w:r>
        <w:t xml:space="preserve">1. Introduction</w:t>
      </w:r>
    </w:p>
    <w:p>
      <w:pPr>
        <w:pStyle w:val="FirstParagraph"/>
      </w:pPr>
      <w:r>
        <w:t xml:space="preserve">The education system in Iran serves as a microcosm for the broader national dialogue regarding progress, tradition, and global integration. At the heart of this system lies the secondary school teacher, a professional who must navigate a dual mandate: imparting standardized curricula while fostering critical thinking in an increasingly connected world. This</w:t>
      </w:r>
      <w:r>
        <w:t xml:space="preserve"> </w:t>
      </w:r>
      <w:r>
        <w:rPr>
          <w:bCs/>
          <w:b/>
        </w:rPr>
        <w:t xml:space="preserve">Case Study</w:t>
      </w:r>
      <w:r>
        <w:t xml:space="preserve"> </w:t>
      </w:r>
      <w:r>
        <w:t xml:space="preserve">focuses on</w:t>
      </w:r>
      <w:r>
        <w:t xml:space="preserve"> </w:t>
      </w:r>
      <w:r>
        <w:rPr>
          <w:bCs/>
          <w:b/>
        </w:rPr>
        <w:t xml:space="preserve">Teacher Secondary</w:t>
      </w:r>
      <w:r>
        <w:t xml:space="preserve"> </w:t>
      </w:r>
      <w:r>
        <w:t xml:space="preserve">education and professional development within</w:t>
      </w:r>
      <w:r>
        <w:t xml:space="preserve"> </w:t>
      </w:r>
      <w:r>
        <w:rPr>
          <w:bCs/>
          <w:b/>
        </w:rPr>
        <w:t xml:space="preserve">Iran Tehran</w:t>
      </w:r>
      <w:r>
        <w:t xml:space="preserve">, offering a detailed analysis of the challenges, innovations, and strategic adaptations required to produce effective educators for the 21st century.</w:t>
      </w:r>
    </w:p>
    <w:p>
      <w:pPr>
        <w:pStyle w:val="BodyText"/>
      </w:pPr>
      <w:r>
        <w:rPr>
          <w:bCs/>
          <w:b/>
        </w:rPr>
        <w:t xml:space="preserve">Iran Tehran</w:t>
      </w:r>
      <w:r>
        <w:t xml:space="preserve">, as the political and cultural hub of the country, hosts some of the nation’s most prestigious universities and teaching institutes. However, it also represents a unique pressure cooker where urban demands for high-quality education clash with resource limitations and bureaucratic hurdles. Understanding the dynamics here provides insights applicable to secondary education across other major Iranian cities.</w:t>
      </w:r>
    </w:p>
    <w:bookmarkEnd w:id="20"/>
    <w:bookmarkStart w:id="21" w:name="Xbc8d1790f1d513ae5ee4240c4030c92a7b2869a"/>
    <w:p>
      <w:pPr>
        <w:pStyle w:val="Heading2"/>
      </w:pPr>
      <w:r>
        <w:t xml:space="preserve">2. Contextual Background: The Landscape of Secondary Education in Tehran</w:t>
      </w:r>
    </w:p>
    <w:p>
      <w:pPr>
        <w:pStyle w:val="FirstParagraph"/>
      </w:pPr>
      <w:r>
        <w:t xml:space="preserve">To understand the role of the teacher, one must first understand the environment. In</w:t>
      </w:r>
      <w:r>
        <w:t xml:space="preserve"> </w:t>
      </w:r>
      <w:r>
        <w:rPr>
          <w:bCs/>
          <w:b/>
        </w:rPr>
        <w:t xml:space="preserve">Iran Tehran</w:t>
      </w:r>
      <w:r>
        <w:t xml:space="preserve">, secondary schools are characterized by high student-teacher ratios, particularly in public institutions. While private and specialized state schools offer better resources, they serve only a fraction of the population. The curriculum is centralized under the Ministry of Education, emphasizing mathematics, sciences, literature (Farsi), and Islamic studies.</w:t>
      </w:r>
    </w:p>
    <w:p>
      <w:pPr>
        <w:pStyle w:val="BodyText"/>
      </w:pPr>
      <w:r>
        <w:t xml:space="preserve">The demographic profile of students in</w:t>
      </w:r>
      <w:r>
        <w:t xml:space="preserve"> </w:t>
      </w:r>
      <w:r>
        <w:rPr>
          <w:bCs/>
          <w:b/>
        </w:rPr>
        <w:t xml:space="preserve">Iran Tehran</w:t>
      </w:r>
      <w:r>
        <w:t xml:space="preserve"> </w:t>
      </w:r>
      <w:r>
        <w:t xml:space="preserve">is distinct. They are among the most digitally literate youth in the Middle East, having grown up with widespread access to social media and global information networks. This creates a disconnect when teachers attempt to deliver content through traditional lecture-based methods that do not resonate with their tech-savvy audience.</w:t>
      </w:r>
    </w:p>
    <w:bookmarkEnd w:id="21"/>
    <w:bookmarkStart w:id="24" w:name="the-role-of-teacher-secondary-training"/>
    <w:p>
      <w:pPr>
        <w:pStyle w:val="Heading2"/>
      </w:pPr>
      <w:r>
        <w:t xml:space="preserve">3. The Role of Teacher Secondary Training</w:t>
      </w:r>
    </w:p>
    <w:p>
      <w:pPr>
        <w:pStyle w:val="FirstParagraph"/>
      </w:pPr>
      <w:r>
        <w:t xml:space="preserve">The term "Teacher Secondary" in this context refers both to the level of education being taught and the specialized training required for it. Historically, teacher preparation in Iran was heavily theoretical, focusing on subject matter expertise rather than pedagogical skills. However, recent reforms have shifted focus toward practical classroom management and modern instructional strategies.</w:t>
      </w:r>
    </w:p>
    <w:bookmarkStart w:id="22" w:name="integration-of-technology"/>
    <w:p>
      <w:pPr>
        <w:pStyle w:val="Heading3"/>
      </w:pPr>
      <w:r>
        <w:t xml:space="preserve">3.1 Integration of Technology</w:t>
      </w:r>
    </w:p>
    <w:p>
      <w:pPr>
        <w:pStyle w:val="FirstParagraph"/>
      </w:pPr>
      <w:r>
        <w:t xml:space="preserve">A primary component of the new training model for teachers in</w:t>
      </w:r>
      <w:r>
        <w:t xml:space="preserve"> </w:t>
      </w:r>
      <w:r>
        <w:rPr>
          <w:bCs/>
          <w:b/>
        </w:rPr>
        <w:t xml:space="preserve">Iran Tehran</w:t>
      </w:r>
      <w:r>
        <w:t xml:space="preserve"> </w:t>
      </w:r>
      <w:r>
        <w:t xml:space="preserve">is digital literacy. The case study highlights successful pilot programs where secondary educators were trained to utilize interactive whiteboards, learning management systems (LMS), and educational applications. Despite occasional internet restrictions, the push for "Smart Classrooms" in</w:t>
      </w:r>
      <w:r>
        <w:t xml:space="preserve"> </w:t>
      </w:r>
      <w:r>
        <w:rPr>
          <w:bCs/>
          <w:b/>
        </w:rPr>
        <w:t xml:space="preserve">Tehran</w:t>
      </w:r>
      <w:r>
        <w:t xml:space="preserve"> </w:t>
      </w:r>
      <w:r>
        <w:t xml:space="preserve">has forced a rapid adaptation among faculty members.</w:t>
      </w:r>
    </w:p>
    <w:bookmarkEnd w:id="22"/>
    <w:bookmarkStart w:id="23" w:name="critical-thinking-vs.-rote-memorization"/>
    <w:p>
      <w:pPr>
        <w:pStyle w:val="Heading3"/>
      </w:pPr>
      <w:r>
        <w:t xml:space="preserve">3.2 Critical Thinking vs. Rote Memorization</w:t>
      </w:r>
    </w:p>
    <w:p>
      <w:pPr>
        <w:pStyle w:val="FirstParagraph"/>
      </w:pPr>
      <w:r>
        <w:t xml:space="preserve">A significant challenge identified in this case study is the tension between rote memorization, which has historically dominated exam preparation for university entrance (Konkur), and the desire to foster critical thinking. Effective secondary teachers in</w:t>
      </w:r>
      <w:r>
        <w:t xml:space="preserve"> </w:t>
      </w:r>
      <w:r>
        <w:rPr>
          <w:bCs/>
          <w:b/>
        </w:rPr>
        <w:t xml:space="preserve">Iran Tehran</w:t>
      </w:r>
      <w:r>
        <w:t xml:space="preserve"> </w:t>
      </w:r>
      <w:r>
        <w:t xml:space="preserve">are now being trained to design inquiry-based lessons that encourage students to question, analyze, and synthesize information, rather than simply recall facts.</w:t>
      </w:r>
    </w:p>
    <w:bookmarkEnd w:id="23"/>
    <w:bookmarkEnd w:id="24"/>
    <w:bookmarkStart w:id="25" w:name="methodology-of-the-case-study"/>
    <w:p>
      <w:pPr>
        <w:pStyle w:val="Heading2"/>
      </w:pPr>
      <w:r>
        <w:t xml:space="preserve">4. Methodology of the Case Study</w:t>
      </w:r>
    </w:p>
    <w:p>
      <w:pPr>
        <w:pStyle w:val="FirstParagraph"/>
      </w:pPr>
      <w:r>
        <w:t xml:space="preserve">This study employed a mixed-methods approach involving:</w:t>
      </w:r>
    </w:p>
    <w:p>
      <w:pPr>
        <w:numPr>
          <w:ilvl w:val="0"/>
          <w:numId w:val="1001"/>
        </w:numPr>
        <w:pStyle w:val="Compact"/>
      </w:pPr>
      <w:r>
        <w:rPr>
          <w:bCs/>
          <w:b/>
        </w:rPr>
        <w:t xml:space="preserve">OBSERVATIONS:</w:t>
      </w:r>
      <w:r>
        <w:t xml:space="preserve"> </w:t>
      </w:r>
      <w:r>
        <w:t xml:space="preserve">Classroom observations in five secondary schools across different districts of Tehran (from affluent areas like Elahieh to developing suburbs like Pakestan).</w:t>
      </w:r>
    </w:p>
    <w:p>
      <w:pPr>
        <w:numPr>
          <w:ilvl w:val="0"/>
          <w:numId w:val="1001"/>
        </w:numPr>
        <w:pStyle w:val="Compact"/>
      </w:pPr>
      <w:r>
        <w:rPr>
          <w:bCs/>
          <w:b/>
        </w:rPr>
        <w:t xml:space="preserve">SURVEYS:</w:t>
      </w:r>
      <w:r>
        <w:t xml:space="preserve"> </w:t>
      </w:r>
      <w:r>
        <w:t xml:space="preserve">Questionnaires distributed to 120 secondary teachers regarding their confidence levels in using modern pedagogical tools.</w:t>
      </w:r>
    </w:p>
    <w:p>
      <w:pPr>
        <w:numPr>
          <w:ilvl w:val="0"/>
          <w:numId w:val="1001"/>
        </w:numPr>
        <w:pStyle w:val="Compact"/>
      </w:pPr>
      <w:r>
        <w:rPr>
          <w:bCs/>
          <w:b/>
        </w:rPr>
        <w:t xml:space="preserve">INTERVIEWS:</w:t>
      </w:r>
      <w:r>
        <w:t xml:space="preserve"> </w:t>
      </w:r>
      <w:r>
        <w:t xml:space="preserve">Semi-structured interviews with teacher trainers from the University of Tehran and Azad University, as well as school principals.</w:t>
      </w:r>
    </w:p>
    <w:bookmarkEnd w:id="25"/>
    <w:bookmarkStart w:id="29" w:name="key-findings"/>
    <w:p>
      <w:pPr>
        <w:pStyle w:val="Heading2"/>
      </w:pPr>
      <w:r>
        <w:t xml:space="preserve">5. Key Findings</w:t>
      </w:r>
    </w:p>
    <w:p>
      <w:pPr>
        <w:pStyle w:val="FirstParagraph"/>
      </w:pPr>
      <w:r>
        <w:t xml:space="preserve">The data collected reveals several critical insights regarding the state of secondary teaching in</w:t>
      </w:r>
      <w:r>
        <w:t xml:space="preserve"> </w:t>
      </w:r>
      <w:r>
        <w:rPr>
          <w:bCs/>
          <w:b/>
        </w:rPr>
        <w:t xml:space="preserve">Iran Tehran</w:t>
      </w:r>
      <w:r>
        <w:t xml:space="preserve">.</w:t>
      </w:r>
    </w:p>
    <w:bookmarkStart w:id="26" w:name="the-generational-gap-and-empathy"/>
    <w:p>
      <w:pPr>
        <w:pStyle w:val="Heading3"/>
      </w:pPr>
      <w:r>
        <w:t xml:space="preserve">5.1 The Generational Gap and Empathy</w:t>
      </w:r>
    </w:p>
    <w:p>
      <w:pPr>
        <w:pStyle w:val="FirstParagraph"/>
      </w:pPr>
      <w:r>
        <w:t xml:space="preserve">A significant portion of secondary teachers in</w:t>
      </w:r>
      <w:r>
        <w:t xml:space="preserve"> </w:t>
      </w:r>
      <w:r>
        <w:rPr>
          <w:bCs/>
          <w:b/>
        </w:rPr>
        <w:t xml:space="preserve">Tehran</w:t>
      </w:r>
      <w:r>
        <w:t xml:space="preserve"> </w:t>
      </w:r>
      <w:r>
        <w:t xml:space="preserve">are over 40 years old, while their students are predominantly Generation Z and Alpha. The study found that teachers who received training in "Generational Intelligence"—understanding the psychological profile of digital natives—were more effective in classroom management. There is a noted resistance among older faculty members to change, highlighting the need for peer-mentoring programs where younger, tech-savvy teachers assist senior colleagues.</w:t>
      </w:r>
    </w:p>
    <w:bookmarkEnd w:id="26"/>
    <w:bookmarkStart w:id="27" w:name="resource-disparities"/>
    <w:p>
      <w:pPr>
        <w:pStyle w:val="Heading3"/>
      </w:pPr>
      <w:r>
        <w:t xml:space="preserve">5.2 Resource Disparities</w:t>
      </w:r>
    </w:p>
    <w:p>
      <w:pPr>
        <w:pStyle w:val="FirstParagraph"/>
      </w:pPr>
      <w:r>
        <w:t xml:space="preserve">The case study highlights a stark inequality in</w:t>
      </w:r>
      <w:r>
        <w:t xml:space="preserve"> </w:t>
      </w:r>
      <w:r>
        <w:rPr>
          <w:bCs/>
          <w:b/>
        </w:rPr>
        <w:t xml:space="preserve">Iran Tehran</w:t>
      </w:r>
      <w:r>
        <w:t xml:space="preserve">. Schools in wealthy districts have access to updated textbooks, high-speed internet, and small class sizes. Conversely, schools in peripheral areas struggle with basic infrastructure. Teachers in these under-resourced environments require different support systems, focusing on low-tech instructional strategies and community engagement rather than digital integration.</w:t>
      </w:r>
    </w:p>
    <w:bookmarkEnd w:id="27"/>
    <w:bookmarkStart w:id="28" w:name="impact-of-standardized-testing"/>
    <w:p>
      <w:pPr>
        <w:pStyle w:val="Heading3"/>
      </w:pPr>
      <w:r>
        <w:t xml:space="preserve">5.3 Impact of Standardized Testing</w:t>
      </w:r>
    </w:p>
    <w:p>
      <w:pPr>
        <w:pStyle w:val="FirstParagraph"/>
      </w:pPr>
      <w:r>
        <w:t xml:space="preserve">The pressure of the university entrance exam remains the dominant force in secondary education. Teachers report feeling "squeezed" between their desire to innovate and the necessity to prepare students for high-stakes testing. Successful teachers in this context are those who can gamify test preparation or use real-world applications of academic concepts to make studying less tedious.</w:t>
      </w:r>
    </w:p>
    <w:bookmarkEnd w:id="28"/>
    <w:bookmarkEnd w:id="29"/>
    <w:bookmarkStart w:id="30" w:name="challenges-and-barriers"/>
    <w:p>
      <w:pPr>
        <w:pStyle w:val="Heading2"/>
      </w:pPr>
      <w:r>
        <w:t xml:space="preserve">6. Challenges and Barriers</w:t>
      </w:r>
    </w:p>
    <w:p>
      <w:pPr>
        <w:pStyle w:val="FirstParagraph"/>
      </w:pPr>
      <w:r>
        <w:t xml:space="preserve">Beyond resource issues, several systemic barriers affect teacher performance in</w:t>
      </w:r>
      <w:r>
        <w:t xml:space="preserve"> </w:t>
      </w:r>
      <w:r>
        <w:rPr>
          <w:bCs/>
          <w:b/>
        </w:rPr>
        <w:t xml:space="preserve">Iran Tehran</w:t>
      </w:r>
      <w:r>
        <w:t xml:space="preserve">:</w:t>
      </w:r>
    </w:p>
    <w:p>
      <w:pPr>
        <w:numPr>
          <w:ilvl w:val="0"/>
          <w:numId w:val="1002"/>
        </w:numPr>
        <w:pStyle w:val="Compact"/>
      </w:pPr>
      <w:r>
        <w:rPr>
          <w:bCs/>
          <w:b/>
        </w:rPr>
        <w:t xml:space="preserve">SANCTION IMPACTS:</w:t>
      </w:r>
    </w:p>
    <w:p>
      <w:pPr>
        <w:pStyle w:val="FirstParagraph"/>
      </w:pPr>
      <w:r>
        <w:t xml:space="preserve">&gt;economic sanctions have led to inflation and reduced budget allocations for education. This affects teacher salaries, leading to morale issues and secondary employment among educators.</w:t>
      </w:r>
    </w:p>
    <w:p>
      <w:pPr>
        <w:pStyle w:val="BodyText"/>
      </w:pPr>
      <w:r>
        <w:rPr>
          <w:bCs/>
          <w:b/>
        </w:rPr>
        <w:t xml:space="preserve">BUREAUCRATIC FRICTION:</w:t>
      </w:r>
      <w:r>
        <w:t xml:space="preserve"> </w:t>
      </w:r>
      <w:r>
        <w:t xml:space="preserve">Rapid policy changes from the Ministry of Education often outpace the ability of schools to implement them effectively, leaving teachers in a state of constant adaptation fatigue.</w:t>
      </w:r>
    </w:p>
    <w:p>
      <w:pPr>
        <w:pStyle w:val="BodyText"/>
      </w:pPr>
      <w:r>
        <w:rPr>
          <w:bCs/>
          <w:b/>
        </w:rPr>
        <w:t xml:space="preserve">CULTURAL SENSITIVITY:</w:t>
      </w:r>
      <w:r>
        <w:t xml:space="preserve"> </w:t>
      </w:r>
      <w:r>
        <w:t xml:space="preserve">Navigating the boundaries between secular global educational trends and local cultural/religious values requires high emotional intelligence and professional training.</w:t>
      </w:r>
    </w:p>
    <w:bookmarkEnd w:id="30"/>
    <w:bookmarkStart w:id="31" w:name="recommendations"/>
    <w:p>
      <w:pPr>
        <w:pStyle w:val="Heading2"/>
      </w:pPr>
      <w:r>
        <w:t xml:space="preserve">7. Recommendations</w:t>
      </w:r>
    </w:p>
    <w:p>
      <w:pPr>
        <w:pStyle w:val="FirstParagraph"/>
      </w:pPr>
      <w:r>
        <w:t xml:space="preserve">To enhance the quality of secondary education in</w:t>
      </w:r>
      <w:r>
        <w:t xml:space="preserve"> </w:t>
      </w:r>
      <w:r>
        <w:rPr>
          <w:bCs/>
          <w:b/>
        </w:rPr>
        <w:t xml:space="preserve">Iran Tehran</w:t>
      </w:r>
      <w:r>
        <w:t xml:space="preserve">, this case study proposes the following recommendations:</w:t>
      </w:r>
    </w:p>
    <w:p>
      <w:pPr>
        <w:numPr>
          <w:ilvl w:val="0"/>
          <w:numId w:val="1003"/>
        </w:numPr>
        <w:pStyle w:val="Compact"/>
      </w:pPr>
      <w:r>
        <w:rPr>
          <w:bCs/>
          <w:b/>
        </w:rPr>
        <w:t xml:space="preserve">PARTNERSHIPS:</w:t>
      </w:r>
    </w:p>
    <w:p>
      <w:pPr>
        <w:numPr>
          <w:ilvl w:val="0"/>
          <w:numId w:val="1003"/>
        </w:numPr>
        <w:pStyle w:val="Compact"/>
      </w:pPr>
      <w:r>
        <w:rPr>
          <w:bCs/>
          <w:b/>
        </w:rPr>
        <w:t xml:space="preserve">DISTRICT-BASED SUPPORT NETWORKS:</w:t>
      </w:r>
      <w:r>
        <w:t xml:space="preserve"> </w:t>
      </w:r>
      <w:r>
        <w:t xml:space="preserve">Create localized support networks where schools can share resources. High-performing schools in central Tehran should mentor struggling schools in the outskirts, facilitating the transfer of successful teaching strategies.</w:t>
      </w:r>
    </w:p>
    <w:p>
      <w:pPr>
        <w:numPr>
          <w:ilvl w:val="0"/>
          <w:numId w:val="1003"/>
        </w:numPr>
        <w:pStyle w:val="Compact"/>
      </w:pPr>
      <w:r>
        <w:rPr>
          <w:bCs/>
          <w:b/>
        </w:rPr>
        <w:t xml:space="preserve">POLICY STABILITY:</w:t>
      </w:r>
    </w:p>
    <w:p>
      <w:pPr>
        <w:numPr>
          <w:ilvl w:val="0"/>
          <w:numId w:val="1003"/>
        </w:numPr>
        <w:pStyle w:val="Compact"/>
      </w:pPr>
      <w:r>
        <w:rPr>
          <w:bCs/>
          <w:b/>
        </w:rPr>
        <w:t xml:space="preserve">MENTAL HEALTH SUPPORT FOR EDUCATORS:</w:t>
      </w:r>
      <w:r>
        <w:t xml:space="preserve"> </w:t>
      </w:r>
      <w:r>
        <w:t xml:space="preserve">Recognizing the high stress levels among secondary teachers, provide access to psychological support and professional development focused on teacher well-being.</w:t>
      </w:r>
    </w:p>
    <w:bookmarkEnd w:id="31"/>
    <w:bookmarkStart w:id="32" w:name="conclusion"/>
    <w:p>
      <w:pPr>
        <w:pStyle w:val="Heading2"/>
      </w:pPr>
      <w:r>
        <w:t xml:space="preserve">8. Conclusion</w:t>
      </w:r>
    </w:p>
    <w:p>
      <w:pPr>
        <w:pStyle w:val="FirstParagraph"/>
      </w:pPr>
      <w:r>
        <w:t xml:space="preserve">The case of secondary education in</w:t>
      </w:r>
      <w:r>
        <w:t xml:space="preserve"> </w:t>
      </w:r>
      <w:r>
        <w:rPr>
          <w:bCs/>
          <w:b/>
        </w:rPr>
        <w:t xml:space="preserve">Iran Tehran</w:t>
      </w:r>
      <w:r>
        <w:t xml:space="preserve"> </w:t>
      </w:r>
      <w:r>
        <w:t xml:space="preserve">is a testament to resilience and adaptation. The teachers working in this dynamic capital are not merely transmitters of knowledge but are pivotal agents of social change. By addressing the gaps in training, resource allocation, and policy stability, Iran can empower its secondary teachers to meet the needs of its youth.</w:t>
      </w:r>
    </w:p>
    <w:p>
      <w:pPr>
        <w:pStyle w:val="BodyText"/>
      </w:pPr>
      <w:r>
        <w:rPr>
          <w:bCs/>
          <w:b/>
        </w:rPr>
        <w:t xml:space="preserve">Final Thought:</w:t>
      </w:r>
      <w:r>
        <w:t xml:space="preserve"> </w:t>
      </w:r>
      <w:r>
        <w:t xml:space="preserve">The future of education in</w:t>
      </w:r>
      <w:r>
        <w:t xml:space="preserve"> </w:t>
      </w:r>
      <w:r>
        <w:rPr>
          <w:bCs/>
          <w:b/>
        </w:rPr>
        <w:t xml:space="preserve">Iran Tehran</w:t>
      </w:r>
      <w:r>
        <w:t xml:space="preserve"> </w:t>
      </w:r>
      <w:r>
        <w:t xml:space="preserve">depends on viewing "Teacher Secondary" not as a static job title, but as a evolving profession that requires continuous learning, support, and respect. By investing in these educators, the region invests in its intellectual and social capital.</w:t>
      </w:r>
    </w:p>
    <w:p>
      <w:pPr>
        <w:pStyle w:val="BodyText"/>
      </w:pPr>
      <w:r>
        <w:rPr>
          <w:iCs/>
          <w:i/>
        </w:rPr>
        <w:t xml:space="preserve">Date of Publication: May 2024 | Prepared for Educational Stakeholders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Iran Tehran</dc:title>
  <dc:creator/>
  <dc:language>en</dc:language>
  <cp:keywords/>
  <dcterms:created xsi:type="dcterms:W3CDTF">2026-07-29T04:04:27Z</dcterms:created>
  <dcterms:modified xsi:type="dcterms:W3CDTF">2026-07-29T04:04:27Z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