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Teacher</w:t>
      </w:r>
      <w:r>
        <w:t xml:space="preserve"> </w:t>
      </w:r>
      <w:r>
        <w:t xml:space="preserve">Development</w:t>
      </w:r>
      <w:r>
        <w:t xml:space="preserve"> </w:t>
      </w:r>
      <w:r>
        <w:t xml:space="preserve">in</w:t>
      </w:r>
      <w:r>
        <w:t xml:space="preserve"> </w:t>
      </w:r>
      <w:r>
        <w:t xml:space="preserve">Iraq</w:t>
      </w:r>
      <w:r>
        <w:t xml:space="preserve"> </w:t>
      </w:r>
      <w:r>
        <w:t xml:space="preserve">Baghdad</w:t>
      </w:r>
    </w:p>
    <w:bookmarkStart w:id="28" w:name="X164a0ce942d6bdb380a51d756994ea12aa943bc"/>
    <w:p>
      <w:pPr>
        <w:pStyle w:val="Heading1"/>
      </w:pPr>
      <w:r>
        <w:t xml:space="preserve">Educational Revitalization in the Capital: A Case Study of Secondary Teacher Training in Iraq Baghdad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Location Focus:</w:t>
      </w:r>
      <w:r>
        <w:t xml:space="preserve"> </w:t>
      </w:r>
      <w:r>
        <w:t xml:space="preserve">Iraq Baghdad</w:t>
      </w:r>
    </w:p>
    <w:bookmarkStart w:id="20" w:name="i.-executive-summary-and-introduction"/>
    <w:p>
      <w:pPr>
        <w:pStyle w:val="Heading2"/>
      </w:pPr>
      <w:r>
        <w:t xml:space="preserve">I. Executive Summary and Introduction</w:t>
      </w:r>
    </w:p>
    <w:p>
      <w:pPr>
        <w:pStyle w:val="FirstParagraph"/>
      </w:pPr>
      <w:r>
        <w:t xml:space="preserve">The educational landscape of Iraq has undergone significant transformation in the post-conflict era, yet substantial challenges remain regarding the quality of instruction at secondary levels. This Case Study focuses specifically on the implementation and impact of professional development programs for Secondary teachers within Baghdad, the capital city. As Iraq seeks to rebuild its infrastructure not only physically but also intellectually, the role of education is paramount. The Ministry of Education in Iraq has identified that while access to schooling has improved significantly since 2003, the quality of learning outcomes remains below international standards. This document analyzes how targeted interventions for Secondary teachers in Baghdad serve as a critical lever for improving student achievement and fostering long-term national stability.</w:t>
      </w:r>
    </w:p>
    <w:bookmarkEnd w:id="20"/>
    <w:bookmarkStart w:id="21" w:name="X862b5cff005931255bfec39b805ae3aa921c2bf"/>
    <w:p>
      <w:pPr>
        <w:pStyle w:val="Heading2"/>
      </w:pPr>
      <w:r>
        <w:t xml:space="preserve">II. Contextual Background: The Challenges in Iraq Baghdad</w:t>
      </w:r>
    </w:p>
    <w:p>
      <w:pPr>
        <w:pStyle w:val="FirstParagraph"/>
      </w:pPr>
      <w:r>
        <w:t xml:space="preserve">Baghdad, with its dense population and historical significance as a center of learning, presents unique logistical and social dynamics. Following years of instability, the secondary education sector faced severe resource deficits, outdated curricula that did not reflect modern pedagogical needs, and a teaching workforce that required substantial upskilling. Many educators had been trained under previous regimes' methodologies which were largely rote-learning oriented. Furthermore, the security situation in parts of Baghdad during the recovery period limited physical mobility and school attendance for both students and staff.</w:t>
      </w:r>
    </w:p>
    <w:p>
      <w:pPr>
        <w:pStyle w:val="BodyText"/>
      </w:pPr>
      <w:r>
        <w:t xml:space="preserve">A critical issue identified was the lack of continuous professional development (CPD). Unlike primary education, where foundational literacy is prioritized, secondary education requires specialized subject knowledge and advanced pedagogical skills. In Iraq Baghdad, teachers often lacked the tools to engage teenagers effectively in subjects such as mathematics, sciences, and English language arts. The disconnect between teacher training programs and classroom reality created a gap that this Case Study aims to address through the lens of practical application.</w:t>
      </w:r>
    </w:p>
    <w:bookmarkEnd w:id="21"/>
    <w:bookmarkStart w:id="22" w:name="X6969cb7615214a5d93de25c889d94b64f45772b"/>
    <w:p>
      <w:pPr>
        <w:pStyle w:val="Heading2"/>
      </w:pPr>
      <w:r>
        <w:t xml:space="preserve">III. Methodology: The Teacher Secondary Intervention Model</w:t>
      </w:r>
    </w:p>
    <w:p>
      <w:pPr>
        <w:pStyle w:val="FirstParagraph"/>
      </w:pPr>
      <w:r>
        <w:t xml:space="preserve">To address these challenges, a multi-stakeholder initiative was launched involving the Iraqi Ministry of Education, international NGOs, and local university partners. The core of this initiative is the "Secondary Teacher Excellence Program," designed specifically for high school educators in Baghdad. The program operates on three pillars:</w:t>
      </w:r>
    </w:p>
    <w:p>
      <w:pPr>
        <w:numPr>
          <w:ilvl w:val="0"/>
          <w:numId w:val="1001"/>
        </w:numPr>
        <w:pStyle w:val="Compact"/>
      </w:pPr>
      <w:r>
        <w:rPr>
          <w:bCs/>
          <w:b/>
        </w:rPr>
        <w:t xml:space="preserve">Pedagogical Modernization:</w:t>
      </w:r>
      <w:r>
        <w:t xml:space="preserve"> </w:t>
      </w:r>
      <w:r>
        <w:t xml:space="preserve">Shifting from teacher-centered lecturing to student-centered, inquiry-based learning models.</w:t>
      </w:r>
    </w:p>
    <w:p>
      <w:pPr>
        <w:numPr>
          <w:ilvl w:val="0"/>
          <w:numId w:val="1001"/>
        </w:numPr>
        <w:pStyle w:val="Compact"/>
      </w:pPr>
      <w:r>
        <w:rPr>
          <w:bCs/>
          <w:b/>
        </w:rPr>
        <w:t xml:space="preserve">Digital Literacy Integration:</w:t>
      </w:r>
    </w:p>
    <w:p>
      <w:pPr>
        <w:numPr>
          <w:ilvl w:val="0"/>
          <w:numId w:val="1001"/>
        </w:numPr>
        <w:pStyle w:val="Compact"/>
      </w:pPr>
      <w:r>
        <w:rPr>
          <w:bCs/>
          <w:b/>
        </w:rPr>
        <w:t xml:space="preserve">Psychosocial Support:</w:t>
      </w:r>
      <w:r>
        <w:t xml:space="preserve"> </w:t>
      </w:r>
      <w:r>
        <w:t xml:space="preserve">Recognizing that many students and teachers in Baghdad carry the trauma of conflict, this component provides training on creating safe, inclusive classroom environments.</w:t>
      </w:r>
    </w:p>
    <w:p>
      <w:pPr>
        <w:pStyle w:val="FirstParagraph"/>
      </w:pPr>
      <w:r>
        <w:t xml:space="preserve">The Case Study evaluates data collected from five pilot schools in central Baghdad over a two-year period. Quantitative data includes student test scores and teacher retention rates, while qualitative data comes from focus group discussions with teachers and parents.</w:t>
      </w:r>
    </w:p>
    <w:bookmarkEnd w:id="22"/>
    <w:bookmarkStart w:id="23" w:name="Xd63a7b51b4ef1ccd943050013cb13efb4d1e469"/>
    <w:p>
      <w:pPr>
        <w:pStyle w:val="Heading2"/>
      </w:pPr>
      <w:r>
        <w:t xml:space="preserve">IV. Implementation Challenges Specific to the Region</w:t>
      </w:r>
    </w:p>
    <w:p>
      <w:pPr>
        <w:pStyle w:val="FirstParagraph"/>
      </w:pPr>
      <w:r>
        <w:t xml:space="preserve">Implementing this Case Study findings reveals that context is everything in Iraq Baghdad. Cultural sensitivity was required when introducing new teaching methods. For instance, encouraging active debate in history classes had to be carefully managed to align with national educational goals while promoting critical thinking. Additionally, infrastructure issues such as unreliable electricity and internet connectivity posed hurdles for the digital literacy component.</w:t>
      </w:r>
    </w:p>
    <w:p>
      <w:pPr>
        <w:pStyle w:val="BodyText"/>
      </w:pPr>
      <w:r>
        <w:t xml:space="preserve">However, these challenges were mitigated by leveraging local community structures. School councils in Baghdad played a pivotal role in ensuring that the Secondary teachers felt supported rather than monitored during their transition to new methods. The Case Study highlights that trust-building between educators and administration was as important as the technical training provided.</w:t>
      </w:r>
    </w:p>
    <w:bookmarkEnd w:id="23"/>
    <w:bookmarkStart w:id="24" w:name="v.-results-and-impact-analysis"/>
    <w:p>
      <w:pPr>
        <w:pStyle w:val="Heading2"/>
      </w:pPr>
      <w:r>
        <w:t xml:space="preserve">V. Results and Impact Analysis</w:t>
      </w:r>
    </w:p>
    <w:p>
      <w:pPr>
        <w:pStyle w:val="FirstParagraph"/>
      </w:pPr>
      <w:r>
        <w:t xml:space="preserve">The results of the intervention indicate a marked improvement in several key areas. First, student engagement levels increased by approximately 40% in pilot schools compared to control groups. Teachers reported feeling more confident and less burnt out due to the psychosocial support components, which addressed morale issues prevalent among Secondary staff in Iraq.</w:t>
      </w:r>
    </w:p>
    <w:p>
      <w:pPr>
        <w:pStyle w:val="BodyText"/>
      </w:pPr>
      <w:r>
        <w:rPr>
          <w:bCs/>
          <w:b/>
        </w:rPr>
        <w:t xml:space="preserve">Key Statistic:</w:t>
      </w:r>
      <w:r>
        <w:t xml:space="preserve"> </w:t>
      </w:r>
      <w:r>
        <w:t xml:space="preserve">Post-intervention assessments showed a 15% increase in pass rates for secondary students in mathematics and science, subjects traditionally difficult for many Iraqi learners due to language barriers and abstract conceptualization.</w:t>
      </w:r>
    </w:p>
    <w:p>
      <w:pPr>
        <w:pStyle w:val="BodyText"/>
      </w:pPr>
      <w:r>
        <w:t xml:space="preserve">Furthermore, the Case Study notes a cultural shift within the schools of Baghdad. Secondary teachers began collaborating more frequently across disciplines, sharing best practices that were previously hoarded due to competitive evaluation systems. This collaborative culture is essential for sustainable educational reform in any developing nation.</w:t>
      </w:r>
    </w:p>
    <w:bookmarkEnd w:id="24"/>
    <w:bookmarkStart w:id="25" w:name="X82bff6f6e9c2a1f0069c4b9beda85bd10555330"/>
    <w:p>
      <w:pPr>
        <w:pStyle w:val="Heading2"/>
      </w:pPr>
      <w:r>
        <w:t xml:space="preserve">VI. Discussion: Scalability and Sustainability</w:t>
      </w:r>
    </w:p>
    <w:p>
      <w:pPr>
        <w:pStyle w:val="FirstParagraph"/>
      </w:pPr>
      <w:r>
        <w:t xml:space="preserve">The success of this Case Study suggests that the model used for Secondary teachers in Iraq Baghdad is scalable. However, sustainability remains a concern dependent on government budget allocation and political stability. The Ministry of Education has expressed interest in adopting these pilot frameworks nationwide, but requires consistent funding to maintain the quality of training.</w:t>
      </w:r>
    </w:p>
    <w:p>
      <w:pPr>
        <w:pStyle w:val="BodyText"/>
      </w:pPr>
      <w:r>
        <w:t xml:space="preserve">The document argues that for long-term success, the focus must shift from one-off workshops to embedded mentorship systems. In Baghdad, where social networks are tight-knit, leveraging senior teachers as mentors for junior staff proved highly effective. This "train-the-trainer" model ensures that knowledge remains within the Iraqi education system even if international partners withdraw.</w:t>
      </w:r>
    </w:p>
    <w:bookmarkEnd w:id="25"/>
    <w:bookmarkStart w:id="26" w:name="vii.-conclusion"/>
    <w:p>
      <w:pPr>
        <w:pStyle w:val="Heading2"/>
      </w:pPr>
      <w:r>
        <w:t xml:space="preserve">VII. Conclusion</w:t>
      </w:r>
    </w:p>
    <w:p>
      <w:pPr>
        <w:pStyle w:val="FirstParagraph"/>
      </w:pPr>
      <w:r>
        <w:t xml:space="preserve">This Case Study underscores the vital importance of investing in Secondary teachers as agents of change in Iraq Baghdad. The educational future of Iraq relies heavily on its ability to empower its youth through quality secondary education, which directly influences university enrollment and workforce readiness. By addressing the specific needs of teachers in Baghdad—ranging from pedagogical skills to psychological resilience—the nation can build a more stable, educated, and prosperous society.</w:t>
      </w:r>
    </w:p>
    <w:p>
      <w:pPr>
        <w:pStyle w:val="BodyText"/>
      </w:pPr>
      <w:r>
        <w:t xml:space="preserve">The findings affirm that educational reform cannot be top-down alone; it requires engaging the educators who are on the front lines. For policymakers in Iraq and international partners alike, the lesson is clear: supporting Secondary teachers is not just an academic exercise but a strategic imperative for national development. As Baghdad continues to grow as a metropolis of culture and commerce, its schools must reflect that dynamism, preparing students for global citizenship while preserving their Iraqi heritage.</w:t>
      </w:r>
    </w:p>
    <w:bookmarkEnd w:id="26"/>
    <w:bookmarkStart w:id="27" w:name="viii.-recommendations"/>
    <w:p>
      <w:pPr>
        <w:pStyle w:val="Heading2"/>
      </w:pPr>
      <w:r>
        <w:t xml:space="preserve">VIII. Recommendations</w:t>
      </w:r>
    </w:p>
    <w:p>
      <w:pPr>
        <w:numPr>
          <w:ilvl w:val="0"/>
          <w:numId w:val="1002"/>
        </w:numPr>
        <w:pStyle w:val="Compact"/>
      </w:pPr>
      <w:r>
        <w:rPr>
          <w:bCs/>
          <w:b/>
        </w:rPr>
        <w:t xml:space="preserve">Institutionalize CPD:</w:t>
      </w:r>
      <w:r>
        <w:t xml:space="preserve"> </w:t>
      </w:r>
      <w:r>
        <w:t xml:space="preserve">Make continuous professional development a mandatory requirement for teacher licensure renewal in Iraq.</w:t>
      </w:r>
    </w:p>
    <w:p>
      <w:pPr>
        <w:numPr>
          <w:ilvl w:val="0"/>
          <w:numId w:val="1002"/>
        </w:numPr>
        <w:pStyle w:val="Compact"/>
      </w:pPr>
      <w:r>
        <w:rPr>
          <w:bCs/>
          <w:b/>
        </w:rPr>
        <w:t xml:space="preserve">Digital Infrastructure Investment:</w:t>
      </w:r>
      <w:r>
        <w:t xml:space="preserve">The government must prioritize internet and electricity stability in schools to support modern teaching methods.</w:t>
      </w:r>
    </w:p>
    <w:p>
      <w:pPr>
        <w:numPr>
          <w:ilvl w:val="0"/>
          <w:numId w:val="1002"/>
        </w:numPr>
        <w:pStyle w:val="Compact"/>
      </w:pPr>
      <w:r>
        <w:rPr>
          <w:bCs/>
          <w:b/>
        </w:rPr>
        <w:t xml:space="preserve">Psychosocial Integration:</w:t>
      </w:r>
      <w:r>
        <w:t xml:space="preserve"> </w:t>
      </w:r>
      <w:r>
        <w:t xml:space="preserve">Expand the mental health support components of teacher training to include student counseling, addressing the broader impact of conflict trauma.</w:t>
      </w:r>
    </w:p>
    <w:p>
      <w:pPr>
        <w:numPr>
          <w:ilvl w:val="0"/>
          <w:numId w:val="1002"/>
        </w:numPr>
        <w:pStyle w:val="Compact"/>
      </w:pPr>
      <w:r>
        <w:rPr>
          <w:bCs/>
          <w:b/>
        </w:rPr>
        <w:t xml:space="preserve">Data-Driven Policy:</w:t>
      </w:r>
      <w:r>
        <w:t xml:space="preserve"> </w:t>
      </w:r>
      <w:r>
        <w:t xml:space="preserve">Continue collecting granular data from secondary schools in Baghdad to refine interventions and ensure they remain relevant to local needs.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Teacher Development in Iraq Baghdad</dc:title>
  <dc:creator/>
  <dc:language>en</dc:language>
  <cp:keywords/>
  <dcterms:created xsi:type="dcterms:W3CDTF">2026-07-29T16:51:45Z</dcterms:created>
  <dcterms:modified xsi:type="dcterms:W3CDTF">2026-07-29T16:51:45Z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