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Tel</w:t>
      </w:r>
      <w:r>
        <w:t xml:space="preserve"> </w:t>
      </w:r>
      <w:r>
        <w:t xml:space="preserve">Aviv</w:t>
      </w:r>
    </w:p>
    <w:bookmarkStart w:id="31" w:name="Xedc548ff488c621ab8e13136eaf836262cef06c"/>
    <w:p>
      <w:pPr>
        <w:pStyle w:val="Heading1"/>
      </w:pPr>
      <w:r>
        <w:t xml:space="preserve">Educational Excellence in a Global Hub: A Case Study on the Role of Teacher Secondary in Israel Tel Aviv</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Strategy and Cultural Integration</w:t>
      </w:r>
      <w:r>
        <w:br/>
      </w:r>
      <w:r>
        <w:rPr>
          <w:bCs/>
          <w:b/>
        </w:rPr>
        <w:t xml:space="preserve">Location Focus:</w:t>
      </w:r>
      <w:r>
        <w:t xml:space="preserve"> </w:t>
      </w:r>
      <w:r>
        <w:t xml:space="preserve">Israel, Tel Aviv</w:t>
      </w:r>
    </w:p>
    <w:bookmarkStart w:id="20" w:name="executive-summary"/>
    <w:p>
      <w:pPr>
        <w:pStyle w:val="Heading2"/>
      </w:pPr>
      <w:r>
        <w:t xml:space="preserve">1. Executive Summary</w:t>
      </w:r>
    </w:p>
    <w:p>
      <w:pPr>
        <w:pStyle w:val="FirstParagraph"/>
      </w:pPr>
      <w:r>
        <w:t xml:space="preserve">In the dynamic educational landscape of the 21st century, the role of an educator has evolved from that of a mere transmitter of knowledge to a facilitator of critical thinking, cultural competence, and emotional resilience. This Case Study examines the multifaceted position of</w:t>
      </w:r>
      <w:r>
        <w:t xml:space="preserve"> </w:t>
      </w:r>
      <w:r>
        <w:rPr>
          <w:bCs/>
          <w:b/>
        </w:rPr>
        <w:t xml:space="preserve">Teacher Secondary</w:t>
      </w:r>
      <w:r>
        <w:t xml:space="preserve"> </w:t>
      </w:r>
      <w:r>
        <w:t xml:space="preserve">within one of Israel’s most vibrant and complex urban centers:</w:t>
      </w:r>
      <w:r>
        <w:t xml:space="preserve"> </w:t>
      </w:r>
      <w:r>
        <w:rPr>
          <w:bCs/>
          <w:b/>
        </w:rPr>
        <w:t xml:space="preserve">Israel Tel Aviv</w:t>
      </w:r>
      <w:r>
        <w:t xml:space="preserve">. By analyzing the specific pedagogical challenges, cultural nuances, and technological demands present in this city, we aim to provide a comprehensive overview of what it takes to succeed as a secondary educator in this unique environment. This document serves as both an analytical report and a strategic guide for educators considering deployment or adaptation within the</w:t>
      </w:r>
      <w:r>
        <w:t xml:space="preserve"> </w:t>
      </w:r>
      <w:r>
        <w:rPr>
          <w:bCs/>
          <w:b/>
        </w:rPr>
        <w:t xml:space="preserve">Israel Tel Aviv</w:t>
      </w:r>
      <w:r>
        <w:t xml:space="preserve"> </w:t>
      </w:r>
      <w:r>
        <w:t xml:space="preserve">educational sector.</w:t>
      </w:r>
    </w:p>
    <w:bookmarkEnd w:id="20"/>
    <w:bookmarkStart w:id="21" w:name="Xd8646b3c345089b20a112549696155fb8dbe540"/>
    <w:p>
      <w:pPr>
        <w:pStyle w:val="Heading2"/>
      </w:pPr>
      <w:r>
        <w:t xml:space="preserve">2. Contextual Background: The Unique Environment of Israel Tel Aviv</w:t>
      </w:r>
    </w:p>
    <w:p>
      <w:pPr>
        <w:pStyle w:val="FirstParagraph"/>
      </w:pPr>
      <w:r>
        <w:t xml:space="preserve">Tel Aviv is not merely a geographic location; it is a symbol of modernity, innovation, and diversity within the State of Israel. As the economic heart of the country,</w:t>
      </w:r>
      <w:r>
        <w:t xml:space="preserve"> </w:t>
      </w:r>
      <w:r>
        <w:rPr>
          <w:bCs/>
          <w:b/>
        </w:rPr>
        <w:t xml:space="preserve">Israel Tel Aviv</w:t>
      </w:r>
      <w:r>
        <w:t xml:space="preserve"> </w:t>
      </w:r>
      <w:r>
        <w:t xml:space="preserve">boasts a high concentration of tech startups, international businesses, and cultural institutions. This environment directly influences its educational ecosystem. The student body in secondary schools here is exceptionally diverse, comprising local Israeli families from various socio-economic backgrounds, recent immigrants (Olim) from different linguistic and cultural regions, and children of expatriates working in the international corporate sector.</w:t>
      </w:r>
    </w:p>
    <w:p>
      <w:pPr>
        <w:pStyle w:val="BodyText"/>
      </w:pPr>
      <w:r>
        <w:t xml:space="preserve">For a</w:t>
      </w:r>
      <w:r>
        <w:t xml:space="preserve"> </w:t>
      </w:r>
      <w:r>
        <w:rPr>
          <w:bCs/>
          <w:b/>
        </w:rPr>
        <w:t xml:space="preserve">Teacher Secondary</w:t>
      </w:r>
      <w:r>
        <w:t xml:space="preserve">, understanding this demographic mosaic is not optional; it is fundamental. The classroom in</w:t>
      </w:r>
      <w:r>
        <w:t xml:space="preserve"> </w:t>
      </w:r>
      <w:r>
        <w:rPr>
          <w:bCs/>
          <w:b/>
        </w:rPr>
        <w:t xml:space="preserve">Israel Tel Aviv</w:t>
      </w:r>
      <w:r>
        <w:t xml:space="preserve"> </w:t>
      </w:r>
      <w:r>
        <w:t xml:space="preserve">often mirrors the globalized world itself. Students arrive with varying levels of Hebrew proficiency (Hebrew being the primary language of instruction in public schools, though English remains a critical second language), diverse religious observance levels ranging from secular to ultra-Orthodox influences in peripheral areas, and distinct educational prior experiences due to their country of origin.</w:t>
      </w:r>
    </w:p>
    <w:bookmarkEnd w:id="21"/>
    <w:bookmarkStart w:id="24" w:name="X58a286f8162714d466f91817848dbf96b7a3de7"/>
    <w:p>
      <w:pPr>
        <w:pStyle w:val="Heading2"/>
      </w:pPr>
      <w:r>
        <w:t xml:space="preserve">3. The Role and Responsibilities of Teacher Secondary</w:t>
      </w:r>
    </w:p>
    <w:p>
      <w:pPr>
        <w:pStyle w:val="FirstParagraph"/>
      </w:pPr>
      <w:r>
        <w:t xml:space="preserve">The position of</w:t>
      </w:r>
      <w:r>
        <w:t xml:space="preserve"> </w:t>
      </w:r>
      <w:r>
        <w:rPr>
          <w:bCs/>
          <w:b/>
        </w:rPr>
        <w:t xml:space="preserve">Teacher Secondary</w:t>
      </w:r>
      <w:r>
        <w:t xml:space="preserve"> </w:t>
      </w:r>
      <w:r>
        <w:t xml:space="preserve">carries significant weight in the academic trajectory of adolescents aged 14 to 18. In the context of the Israeli education system, secondary students are preparing for their Bagrut (maturity) exams, which determine university eligibility. However, in</w:t>
      </w:r>
      <w:r>
        <w:t xml:space="preserve"> </w:t>
      </w:r>
      <w:r>
        <w:rPr>
          <w:bCs/>
          <w:b/>
        </w:rPr>
        <w:t xml:space="preserve">Israel Tel Aviv</w:t>
      </w:r>
      <w:r>
        <w:t xml:space="preserve">, the expectations extend beyond standard curriculum delivery.</w:t>
      </w:r>
    </w:p>
    <w:bookmarkStart w:id="22" w:name="academic-rigor-and-innovation"/>
    <w:p>
      <w:pPr>
        <w:pStyle w:val="Heading3"/>
      </w:pPr>
      <w:r>
        <w:t xml:space="preserve">3.1 Academic Rigor and Innovation</w:t>
      </w:r>
    </w:p>
    <w:p>
      <w:pPr>
        <w:pStyle w:val="FirstParagraph"/>
      </w:pPr>
      <w:r>
        <w:t xml:space="preserve">A successful</w:t>
      </w:r>
      <w:r>
        <w:t xml:space="preserve"> </w:t>
      </w:r>
      <w:r>
        <w:rPr>
          <w:bCs/>
          <w:b/>
        </w:rPr>
        <w:t xml:space="preserve">Teacher Secondary</w:t>
      </w:r>
      <w:r>
        <w:t xml:space="preserve"> </w:t>
      </w:r>
      <w:r>
        <w:t xml:space="preserve">must balance national curriculum requirements with innovative pedagogical methods. Given the tech-savvy nature of Tel Aviv’s population, students often possess high digital literacy but may lack deep analytical focus. Therefore, the educator must leverage technology not just as a tool, but as a bridge to deeper learning. This involves integrating project-based learning (PBL) that reflects real-world problems relevant to</w:t>
      </w:r>
      <w:r>
        <w:t xml:space="preserve"> </w:t>
      </w:r>
      <w:r>
        <w:rPr>
          <w:bCs/>
          <w:b/>
        </w:rPr>
        <w:t xml:space="preserve">Israel Tel Aviv</w:t>
      </w:r>
      <w:r>
        <w:t xml:space="preserve">, such as urban sustainability, civic engagement in dense metropolitan areas, or ethical dilemmas in artificial intelligence.</w:t>
      </w:r>
    </w:p>
    <w:bookmarkEnd w:id="22"/>
    <w:bookmarkStart w:id="23" w:name="cultural-mediation-and-inclusivity"/>
    <w:p>
      <w:pPr>
        <w:pStyle w:val="Heading3"/>
      </w:pPr>
      <w:r>
        <w:t xml:space="preserve">2.2 Cultural Mediation and Inclusivity</w:t>
      </w:r>
    </w:p>
    <w:p>
      <w:pPr>
        <w:pStyle w:val="FirstParagraph"/>
      </w:pPr>
      <w:r>
        <w:t xml:space="preserve">Cultural mediation is perhaps the most critical aspect of being a</w:t>
      </w:r>
      <w:r>
        <w:t xml:space="preserve"> </w:t>
      </w:r>
      <w:r>
        <w:rPr>
          <w:bCs/>
          <w:b/>
        </w:rPr>
        <w:t xml:space="preserve">Teacher Secondary</w:t>
      </w:r>
      <w:r>
        <w:t xml:space="preserve"> </w:t>
      </w:r>
      <w:r>
        <w:t xml:space="preserve">in this region. The educator acts as a bridge between diverse student identities and the cohesive national narrative required by the school system. This requires high emotional intelligence and cultural sensitivity. For instance, understanding Shabbat observance when planning deadlines, respecting dietary laws (Kashrut), and navigating discussions about security or politics with age-appropriate neutrality are daily realities for educators in</w:t>
      </w:r>
      <w:r>
        <w:t xml:space="preserve"> </w:t>
      </w:r>
      <w:r>
        <w:rPr>
          <w:bCs/>
          <w:b/>
        </w:rPr>
        <w:t xml:space="preserve">Israel Tel Aviv</w:t>
      </w:r>
      <w:r>
        <w:t xml:space="preserve">.</w:t>
      </w:r>
    </w:p>
    <w:bookmarkEnd w:id="23"/>
    <w:bookmarkEnd w:id="24"/>
    <w:bookmarkStart w:id="25" w:name="X541f9180037e4bf229a0ebdf0d58e2f1a0d71af"/>
    <w:p>
      <w:pPr>
        <w:pStyle w:val="Heading2"/>
      </w:pPr>
      <w:r>
        <w:t xml:space="preserve">4. Challenges Faced by Educators in Israel Tel Aviv</w:t>
      </w:r>
    </w:p>
    <w:p>
      <w:pPr>
        <w:pStyle w:val="FirstParagraph"/>
      </w:pPr>
      <w:r>
        <w:t xml:space="preserve">The case study identifies several distinct challenges that define the experience of a</w:t>
      </w:r>
      <w:r>
        <w:t xml:space="preserve"> </w:t>
      </w:r>
      <w:r>
        <w:rPr>
          <w:bCs/>
          <w:b/>
        </w:rPr>
        <w:t xml:space="preserve">Teacher Secondary</w:t>
      </w:r>
      <w:r>
        <w:t xml:space="preserve"> </w:t>
      </w:r>
      <w:r>
        <w:t xml:space="preserve">in this locale:</w:t>
      </w:r>
    </w:p>
    <w:p>
      <w:pPr>
        <w:numPr>
          <w:ilvl w:val="0"/>
          <w:numId w:val="1001"/>
        </w:numPr>
        <w:pStyle w:val="Compact"/>
      </w:pPr>
      <w:r>
        <w:rPr>
          <w:bCs/>
          <w:b/>
        </w:rPr>
        <w:t xml:space="preserve">Socio-Economic Disparities:</w:t>
      </w:r>
      <w:r>
        <w:t xml:space="preserve"> </w:t>
      </w:r>
      <w:r>
        <w:t xml:space="preserve">While Tel Aviv is known for its affluence, there are pockets of significant poverty. A secondary teacher must address equity issues, ensuring that students from lower-income backgrounds have access to the same resources as their wealthier peers.</w:t>
      </w:r>
    </w:p>
    <w:p>
      <w:pPr>
        <w:numPr>
          <w:ilvl w:val="0"/>
          <w:numId w:val="1001"/>
        </w:numPr>
        <w:pStyle w:val="Compact"/>
      </w:pPr>
      <w:r>
        <w:rPr>
          <w:bCs/>
          <w:b/>
        </w:rPr>
        <w:t xml:space="preserve">Mental Health Crisis:</w:t>
      </w:r>
      <w:r>
        <w:t xml:space="preserve"> </w:t>
      </w:r>
      <w:r>
        <w:t xml:space="preserve">Adolescents in major metropolitan centers often face heightened pressure regarding academic performance and social media presence. In</w:t>
      </w:r>
      <w:r>
        <w:t xml:space="preserve"> </w:t>
      </w:r>
      <w:r>
        <w:rPr>
          <w:bCs/>
          <w:b/>
        </w:rPr>
        <w:t xml:space="preserve">Israel Tel Aviv</w:t>
      </w:r>
      <w:r>
        <w:t xml:space="preserve">, where the pace of life is rapid, students may suffer from burnout. Teachers are increasingly expected to provide pastoral care alongside instruction.</w:t>
      </w:r>
    </w:p>
    <w:p>
      <w:pPr>
        <w:numPr>
          <w:ilvl w:val="0"/>
          <w:numId w:val="1001"/>
        </w:numPr>
        <w:pStyle w:val="Compact"/>
      </w:pPr>
      <w:r>
        <w:rPr>
          <w:bCs/>
          <w:b/>
        </w:rPr>
        <w:t xml:space="preserve">Rapid Technological Change:</w:t>
      </w:r>
      <w:r>
        <w:t xml:space="preserve"> </w:t>
      </w:r>
      <w:r>
        <w:t xml:space="preserve">The curriculum must keep pace with a city that is a global startup nation. Teachers must continuously upskill to remain relevant and engaging for digital-native students.</w:t>
      </w:r>
    </w:p>
    <w:bookmarkEnd w:id="25"/>
    <w:bookmarkStart w:id="29" w:name="strategic-recommendations-for-success"/>
    <w:p>
      <w:pPr>
        <w:pStyle w:val="Heading2"/>
      </w:pPr>
      <w:r>
        <w:t xml:space="preserve">5. Strategic Recommendations for Success</w:t>
      </w:r>
    </w:p>
    <w:p>
      <w:pPr>
        <w:pStyle w:val="FirstParagraph"/>
      </w:pPr>
      <w:r>
        <w:t xml:space="preserve">To thrive as a</w:t>
      </w:r>
      <w:r>
        <w:t xml:space="preserve"> </w:t>
      </w:r>
      <w:r>
        <w:rPr>
          <w:bCs/>
          <w:b/>
        </w:rPr>
        <w:t xml:space="preserve">Teacher Secondary</w:t>
      </w:r>
      <w:r>
        <w:t xml:space="preserve"> </w:t>
      </w:r>
      <w:r>
        <w:t xml:space="preserve">in</w:t>
      </w:r>
      <w:r>
        <w:t xml:space="preserve"> </w:t>
      </w:r>
      <w:r>
        <w:rPr>
          <w:bCs/>
          <w:b/>
        </w:rPr>
        <w:t xml:space="preserve">Israel Tel Aviv</w:t>
      </w:r>
      <w:r>
        <w:t xml:space="preserve">, educators should adopt the following strategies:</w:t>
      </w:r>
    </w:p>
    <w:bookmarkStart w:id="26" w:name="a.-embrace-localized-curriculum-design"/>
    <w:p>
      <w:pPr>
        <w:pStyle w:val="Heading3"/>
      </w:pPr>
      <w:r>
        <w:t xml:space="preserve">A. Embrace Localized Curriculum Design</w:t>
      </w:r>
    </w:p>
    <w:p>
      <w:pPr>
        <w:pStyle w:val="FirstParagraph"/>
      </w:pPr>
      <w:r>
        <w:t xml:space="preserve">Incorporate local case studies from Tel Aviv into general subjects. For example, use the city’s architectural history in geography lessons or its digital infrastructure in computer science classes. This grounds abstract concepts in the students' immediate reality.</w:t>
      </w:r>
    </w:p>
    <w:bookmarkEnd w:id="26"/>
    <w:bookmarkStart w:id="27" w:name="b.-foster-community-partnerships"/>
    <w:p>
      <w:pPr>
        <w:pStyle w:val="Heading3"/>
      </w:pPr>
      <w:r>
        <w:t xml:space="preserve">B. Foster Community Partnerships</w:t>
      </w:r>
    </w:p>
    <w:p>
      <w:pPr>
        <w:pStyle w:val="FirstParagraph"/>
      </w:pPr>
      <w:r>
        <w:t xml:space="preserve">Leverage the unique ecosystem of Tel Aviv by partnering with local museums, tech companies, and NGOs. Field trips to places like the Eretz Israel Museum or collaborations with startups can provide students with real-world exposure that textbooks cannot match.</w:t>
      </w:r>
    </w:p>
    <w:bookmarkEnd w:id="27"/>
    <w:bookmarkStart w:id="28" w:name="X2d9f78c2ef3452904c668e5f3f5489fa7489a20"/>
    <w:p>
      <w:pPr>
        <w:pStyle w:val="Heading3"/>
      </w:pPr>
      <w:r>
        <w:t xml:space="preserve">C. Prioritize Social-Emotional Learning (SEL)</w:t>
      </w:r>
    </w:p>
    <w:p>
      <w:pPr>
        <w:pStyle w:val="FirstParagraph"/>
      </w:pPr>
      <w:r>
        <w:t xml:space="preserve">Dedicate time in the curriculum for SEL activities. In a diverse and sometimes polarized environment like</w:t>
      </w:r>
      <w:r>
        <w:t xml:space="preserve"> </w:t>
      </w:r>
      <w:r>
        <w:rPr>
          <w:bCs/>
          <w:b/>
        </w:rPr>
        <w:t xml:space="preserve">Israel Tel Aviv</w:t>
      </w:r>
      <w:r>
        <w:t xml:space="preserve">, teaching conflict resolution, empathy, and communication skills is as vital as teaching mathematics or literature.</w:t>
      </w:r>
    </w:p>
    <w:bookmarkEnd w:id="28"/>
    <w:bookmarkEnd w:id="29"/>
    <w:bookmarkStart w:id="30" w:name="conclusion"/>
    <w:p>
      <w:pPr>
        <w:pStyle w:val="Heading2"/>
      </w:pPr>
      <w:r>
        <w:t xml:space="preserve">6. Conclusion</w:t>
      </w:r>
    </w:p>
    <w:p>
      <w:pPr>
        <w:pStyle w:val="FirstParagraph"/>
      </w:pPr>
      <w:r>
        <w:t xml:space="preserve">The role of</w:t>
      </w:r>
      <w:r>
        <w:t xml:space="preserve"> </w:t>
      </w:r>
      <w:r>
        <w:rPr>
          <w:bCs/>
          <w:b/>
        </w:rPr>
        <w:t xml:space="preserve">Teacher Secondary</w:t>
      </w:r>
      <w:r>
        <w:rPr>
          <w:iCs/>
          <w:i/>
        </w:rPr>
        <w:t xml:space="preserve"> </w:t>
      </w:r>
      <w:r>
        <w:t xml:space="preserve">s in</w:t>
      </w:r>
      <w:r>
        <w:t xml:space="preserve"> </w:t>
      </w:r>
      <w:r>
        <w:rPr>
          <w:bCs/>
          <w:b/>
        </w:rPr>
        <w:t xml:space="preserve">Israel Tel Aviv</w:t>
      </w:r>
      <w:r>
        <w:t xml:space="preserve"> </w:t>
      </w:r>
      <w:r>
        <w:rPr>
          <w:iCs/>
          <w:i/>
        </w:rPr>
        <w:t xml:space="preserve"> </w:t>
      </w:r>
    </w:p>
    <w:p>
      <w:pPr>
        <w:pStyle w:val="BodyText"/>
      </w:pPr>
      <w:r>
        <w:t xml:space="preserve">This Case Study underscores that success in this role is not achieved through rote adherence to traditional teaching methods alone. Instead, it requires a holistic approach that respects the diverse identities of students while challenging them to reach their full potential in an academic sense and as global citizens. For institutions recruiting or supporting educators in</w:t>
      </w:r>
      <w:r>
        <w:t xml:space="preserve"> </w:t>
      </w:r>
      <w:r>
        <w:rPr>
          <w:bCs/>
          <w:b/>
        </w:rPr>
        <w:t xml:space="preserve">Israel Tel Aviv</w:t>
      </w:r>
      <w:r>
        <w:t xml:space="preserve">, understanding these dynamics is key to fostering an educational environment that is both rigorous and inclusive. Ultimately, the</w:t>
      </w:r>
      <w:r>
        <w:t xml:space="preserve"> </w:t>
      </w:r>
      <w:r>
        <w:rPr>
          <w:bCs/>
          <w:b/>
        </w:rPr>
        <w:t xml:space="preserve">Teacher Secondary</w:t>
      </w:r>
      <w:r>
        <w:rPr>
          <w:iCs/>
          <w:i/>
        </w:rPr>
        <w:t xml:space="preserve"> </w:t>
      </w:r>
    </w:p>
    <w:p>
      <w:pPr>
        <w:pStyle w:val="BodyText"/>
      </w:pPr>
      <w:r>
        <w:rPr>
          <w:iCs/>
          <w:i/>
        </w:rPr>
        <w:t xml:space="preserve">This document is intended for educational administrators, policy makers, and prospective educators interested in the nuances of secondary education within the specific context of Tel Aviv, Israel.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Israel Tel Aviv</dc:title>
  <dc:creator/>
  <dc:language>en</dc:language>
  <cp:keywords/>
  <dcterms:created xsi:type="dcterms:W3CDTF">2026-07-29T15:57:08Z</dcterms:created>
  <dcterms:modified xsi:type="dcterms:W3CDTF">2026-07-29T15:57:08Z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