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Education</w:t>
      </w:r>
      <w:r>
        <w:t xml:space="preserve"> </w:t>
      </w:r>
      <w:r>
        <w:t xml:space="preserve">in</w:t>
      </w:r>
      <w:r>
        <w:t xml:space="preserve"> </w:t>
      </w:r>
      <w:r>
        <w:t xml:space="preserve">Italy</w:t>
      </w:r>
      <w:r>
        <w:t xml:space="preserve"> </w:t>
      </w:r>
      <w:r>
        <w:t xml:space="preserve">Milan</w:t>
      </w:r>
    </w:p>
    <w:bookmarkStart w:id="36" w:name="X85392e5e1b1999ec8c92c87b00028f03fa3839a"/>
    <w:p>
      <w:pPr>
        <w:pStyle w:val="Heading1"/>
      </w:pPr>
      <w:r>
        <w:t xml:space="preserve">A Comprehensive Case Study on Secondary Education in Italy Milan: Challenges, Innovations, and the Role of the Teacher Secondary</w:t>
      </w:r>
    </w:p>
    <w:p>
      <w:pPr>
        <w:pStyle w:val="FirstParagraph"/>
      </w:pPr>
      <w:r>
        <w:t xml:space="preserve">Date: May 24, 2024</w:t>
      </w:r>
      <w:r>
        <w:br/>
      </w:r>
      <w:r>
        <w:t xml:space="preserve">Location: Milan, Lombardy Region</w:t>
      </w:r>
      <w:r>
        <w:br/>
      </w:r>
      <w:r>
        <w:t xml:space="preserve">Subject Educational Reform and Pedagogical Innovation</w:t>
      </w:r>
    </w:p>
    <w:bookmarkStart w:id="20" w:name="executive-summary"/>
    <w:p>
      <w:pPr>
        <w:pStyle w:val="Heading2"/>
      </w:pPr>
      <w:r>
        <w:t xml:space="preserve">Executive Summary</w:t>
      </w:r>
    </w:p>
    <w:p>
      <w:pPr>
        <w:pStyle w:val="FirstParagraph"/>
      </w:pPr>
      <w:r>
        <w:t xml:space="preserve">The educational landscape in Italy is undergoing a significant transformation driven by demographic shifts, technological advancements, and the evolving needs of the labor market. This case study focuses specifically on</w:t>
      </w:r>
      <w:r>
        <w:t xml:space="preserve"> </w:t>
      </w:r>
      <w:r>
        <w:rPr>
          <w:bCs/>
          <w:b/>
        </w:rPr>
        <w:t xml:space="preserve">Milan</w:t>
      </w:r>
      <w:r>
        <w:t xml:space="preserve">, Italy’s most dynamic economic hub, and examines how secondary education systems are adapting to these changes. Central to this analysis is the role of the</w:t>
      </w:r>
      <w:r>
        <w:t xml:space="preserve"> </w:t>
      </w:r>
      <w:r>
        <w:rPr>
          <w:bCs/>
          <w:b/>
        </w:rPr>
        <w:t xml:space="preserve">Teacher Secondary</w:t>
      </w:r>
      <w:r>
        <w:t xml:space="preserve">, who serves as both a conduit for traditional academic rigor and a facilitator of modern pedagogical methods. Milan presents a unique microcosm of Italian education due its high concentration international students diverse immigrant population robust private sector and competitive public institutions.</w:t>
      </w:r>
    </w:p>
    <w:bookmarkEnd w:id="20"/>
    <w:bookmarkStart w:id="21" w:name="introduction-to-the-context-why-milan"/>
    <w:p>
      <w:pPr>
        <w:pStyle w:val="Heading2"/>
      </w:pPr>
      <w:r>
        <w:t xml:space="preserve">1. Introduction to the Context: Why Milan?</w:t>
      </w:r>
    </w:p>
    <w:p>
      <w:pPr>
        <w:pStyle w:val="FirstParagraph"/>
      </w:pPr>
      <w:r>
        <w:t xml:space="preserve">Milan is not just the fashion capital Italy it is also a center for finance design architecture and innovation. Consequently, the schools in Milan reflect this cosmopolitan nature. The city boasts a high density of prestigious</w:t>
      </w:r>
      <w:r>
        <w:t xml:space="preserve"> </w:t>
      </w:r>
      <w:r>
        <w:rPr>
          <w:iCs/>
          <w:i/>
        </w:rPr>
        <w:t xml:space="preserve">Licei</w:t>
      </w:r>
      <w:r>
        <w:t xml:space="preserve"> </w:t>
      </w:r>
      <w:r>
        <w:t xml:space="preserve">(academic high schools) and</w:t>
      </w:r>
    </w:p>
    <w:p>
      <w:pPr>
        <w:pStyle w:val="BodyText"/>
      </w:pPr>
      <w:r>
        <w:t xml:space="preserve">Istituti Tecnici technical institutes as well vocational training centers.</w:t>
      </w:r>
    </w:p>
    <w:p>
      <w:pPr>
        <w:pStyle w:val="BodyText"/>
      </w:pPr>
      <w:r>
        <w:t xml:space="preserve">The primary objective of this case study is to analyze how secondary education institutions in Milan are preparing students for a globalized future. This involves examining curriculum integration digital literacy soft skills development and teacher training programs. The</w:t>
      </w:r>
      <w:r>
        <w:t xml:space="preserve"> </w:t>
      </w:r>
      <w:r>
        <w:rPr>
          <w:bCs/>
          <w:b/>
        </w:rPr>
        <w:t xml:space="preserve">Teacher Secondary</w:t>
      </w:r>
      <w:r>
        <w:t xml:space="preserve"> </w:t>
      </w:r>
      <w:r>
        <w:t xml:space="preserve">plays a pivotal role in this ecosystem serving as the primary agent of change within the classroom.</w:t>
      </w:r>
    </w:p>
    <w:bookmarkEnd w:id="21"/>
    <w:bookmarkStart w:id="24" w:name="X3d4e74fd4c3f994ce65315590befa57aa23e0a4"/>
    <w:p>
      <w:pPr>
        <w:pStyle w:val="Heading2"/>
      </w:pPr>
      <w:r>
        <w:t xml:space="preserve">2. Current Challenges Facing Secondary Education in Milan</w:t>
      </w:r>
    </w:p>
    <w:bookmarkStart w:id="22" w:name="cultural-diversity-and-inclusion"/>
    <w:p>
      <w:pPr>
        <w:pStyle w:val="Heading3"/>
      </w:pPr>
      <w:r>
        <w:t xml:space="preserve">21 Cultural Diversity and Inclusion</w:t>
      </w:r>
    </w:p>
    <w:p>
      <w:pPr>
        <w:pStyle w:val="FirstParagraph"/>
      </w:pPr>
      <w:r>
        <w:t xml:space="preserve">Milan is one of Italy’s most multicultural cities. Schools must cater to students from over 150 nationalities. While this diversity enriches the educational environment it also poses challenges related language barriers cultural integration and equal opportunity access.</w:t>
      </w:r>
    </w:p>
    <w:p>
      <w:pPr>
        <w:numPr>
          <w:ilvl w:val="0"/>
          <w:numId w:val="1001"/>
        </w:numPr>
        <w:pStyle w:val="Compact"/>
      </w:pPr>
      <w:r>
        <w:t xml:space="preserve">Many students arrive with varying levels of proficiency in Italian requiring intensive support programs.</w:t>
      </w:r>
    </w:p>
    <w:p>
      <w:pPr>
        <w:numPr>
          <w:ilvl w:val="0"/>
          <w:numId w:val="1001"/>
        </w:numPr>
        <w:pStyle w:val="Compact"/>
      </w:pPr>
      <w:r>
        <w:t xml:space="preserve">Social cohesion efforts are crucial to prevent segregation within classrooms.</w:t>
      </w:r>
    </w:p>
    <w:p>
      <w:pPr>
        <w:pStyle w:val="FirstParagraph"/>
      </w:pPr>
      <w:r>
        <w:rPr>
          <w:bCs/>
          <w:b/>
        </w:rPr>
        <w:t xml:space="preserve">Key Insight:</w:t>
      </w:r>
      <w:r>
        <w:t xml:space="preserve"> </w:t>
      </w:r>
      <w:r>
        <w:t xml:space="preserve">In Milan inclusive education is not just a legal requirement but a practical necessity for maintaining social harmony in diverse urban centers. The</w:t>
      </w:r>
      <w:r>
        <w:t xml:space="preserve"> </w:t>
      </w:r>
      <w:r>
        <w:rPr>
          <w:bCs/>
          <w:b/>
        </w:rPr>
        <w:t xml:space="preserve">Teacher Secondary</w:t>
      </w:r>
      <w:r>
        <w:t xml:space="preserve"> </w:t>
      </w:r>
      <w:r>
        <w:t xml:space="preserve">must act as an intercultural mediator fostering empathy and mutual understanding among students.</w:t>
      </w:r>
    </w:p>
    <w:p>
      <w:pPr>
        <w:pStyle w:val="BodyText"/>
      </w:pPr>
      <w:r>
        <w:t xml:space="preserve">Italy has historically lagged behind other EU countries in digital infrastructure however Milan has been a pioneer in recent years. Following the pandemic accelerated shift to remote learning schools invested heavily in smart classrooms tablets and interactive software. Nevertheless gaps remain particularly regarding equitable access outside school hours.</w:t>
      </w:r>
    </w:p>
    <w:p>
      <w:pPr>
        <w:numPr>
          <w:ilvl w:val="0"/>
          <w:numId w:val="1002"/>
        </w:numPr>
        <w:pStyle w:val="Compact"/>
      </w:pPr>
      <w:r>
        <w:t xml:space="preserve">The integration of Artificial Intelligence AI tools into curricula is still nascent but growing rapidly.</w:t>
      </w:r>
    </w:p>
    <w:bookmarkEnd w:id="22"/>
    <w:bookmarkStart w:id="23" w:name="Xb0da03e681493819011ba518117bccf8090ff43"/>
    <w:p>
      <w:pPr>
        <w:pStyle w:val="Heading3"/>
      </w:pPr>
      <w:r>
        <w:t xml:space="preserve">22 Teacher Burnout and Professional Development</w:t>
      </w:r>
    </w:p>
    <w:p>
      <w:pPr>
        <w:pStyle w:val="FirstParagraph"/>
      </w:pPr>
      <w:r>
        <w:t xml:space="preserve">The Italian teaching profession often suffers from bureaucratic burdens high workloads and limited career progression opportunities. In Milan where competition for top talent is fierce many experienced educators leave for private institutions or other sectors. Retaining skilled</w:t>
      </w:r>
      <w:r>
        <w:t xml:space="preserve"> </w:t>
      </w:r>
      <w:r>
        <w:rPr>
          <w:bCs/>
          <w:b/>
        </w:rPr>
        <w:t xml:space="preserve">Teacher Secondary</w:t>
      </w:r>
      <w:r>
        <w:t xml:space="preserve"> </w:t>
      </w:r>
      <w:r>
        <w:t xml:space="preserve">professionals is therefore a critical concern.</w:t>
      </w:r>
    </w:p>
    <w:bookmarkEnd w:id="23"/>
    <w:bookmarkEnd w:id="24"/>
    <w:bookmarkStart w:id="28" w:name="Xfcaa1269894a1dab9eac1d4017e854f7e544a85"/>
    <w:p>
      <w:pPr>
        <w:pStyle w:val="Heading2"/>
      </w:pPr>
      <w:r>
        <w:t xml:space="preserve">3 The Role of the Teacher Secondary in Modern Pedagogy</w:t>
      </w:r>
    </w:p>
    <w:p>
      <w:pPr>
        <w:pStyle w:val="FirstParagraph"/>
      </w:pPr>
      <w:r>
        <w:t xml:space="preserve">The concept of the</w:t>
      </w:r>
      <w:r>
        <w:t xml:space="preserve"> </w:t>
      </w:r>
      <w:r>
        <w:rPr>
          <w:bCs/>
          <w:b/>
        </w:rPr>
        <w:t xml:space="preserve">Teacher Secondary</w:t>
      </w:r>
    </w:p>
    <w:bookmarkStart w:id="25" w:name="facilitator-of-critical-thinking"/>
    <w:p>
      <w:pPr>
        <w:pStyle w:val="Heading3"/>
      </w:pPr>
      <w:r>
        <w:t xml:space="preserve">31 Facilitator of Critical Thinking</w:t>
      </w:r>
    </w:p>
    <w:p>
      <w:pPr>
        <w:pStyle w:val="FirstParagraph"/>
      </w:pPr>
      <w:r>
        <w:t xml:space="preserve">In response to the information age curriculum reforms emphasize critical thinking over rote memorization. Teachers design project based learning modules that require students to analyze complex real world problems such as climate change or urban sustainability which are highly relevant topics for a city like Milan.</w:t>
      </w:r>
    </w:p>
    <w:bookmarkEnd w:id="25"/>
    <w:bookmarkStart w:id="26" w:name="integrator-of-stem-and-arts-steam"/>
    <w:p>
      <w:pPr>
        <w:pStyle w:val="Heading3"/>
      </w:pPr>
      <w:r>
        <w:t xml:space="preserve">32 Integrator of STEM and Arts STEAM)</w:t>
      </w:r>
    </w:p>
    <w:p>
      <w:pPr>
        <w:pStyle w:val="FirstParagraph"/>
      </w:pPr>
      <w:r>
        <w:t xml:space="preserve">Milan’s strong ties to the arts and technology sectors encourage schools to adopt a STEAM approach Science Technology Engineering Arts Mathematics. For instance science projects may involve designing sustainable fashion items combining engineering principles with aesthetic considerations. This interdisciplinary method requires teachers who are comfortable crossing subject boundaries.</w:t>
      </w:r>
    </w:p>
    <w:bookmarkEnd w:id="26"/>
    <w:bookmarkStart w:id="27" w:name="mentor-for-career-guidance"/>
    <w:p>
      <w:pPr>
        <w:pStyle w:val="Heading3"/>
      </w:pPr>
      <w:r>
        <w:t xml:space="preserve">33 Mentor for Career Guidance</w:t>
      </w:r>
    </w:p>
    <w:p>
      <w:pPr>
        <w:pStyle w:val="FirstParagraph"/>
      </w:pPr>
      <w:r>
        <w:t xml:space="preserve">In the final two years of secondary school career guidance becomes increasingly important. Teachers help students navigate university applications vocational training options and internship opportunities within Milan’s vibrant industry sectors including finance tech and design firms.</w:t>
      </w:r>
    </w:p>
    <w:bookmarkEnd w:id="27"/>
    <w:bookmarkEnd w:id="28"/>
    <w:bookmarkStart w:id="32" w:name="Xdd1a383eef3d292a7288d9ae598a11bb6f9f41e"/>
    <w:p>
      <w:pPr>
        <w:pStyle w:val="Heading2"/>
      </w:pPr>
      <w:r>
        <w:t xml:space="preserve">4. Case Study Spotlight: Innovative Practices in Milan</w:t>
      </w:r>
    </w:p>
    <w:p>
      <w:pPr>
        <w:pStyle w:val="FirstParagraph"/>
      </w:pPr>
      <w:r>
        <w:t xml:space="preserve">To illustrate these trends we highlight three exemplary practices implemented by secondary schools across the city.</w:t>
      </w:r>
    </w:p>
    <w:bookmarkStart w:id="29" w:name="case-a-the-eco-school-initiative"/>
    <w:p>
      <w:pPr>
        <w:pStyle w:val="Heading4"/>
      </w:pPr>
      <w:r>
        <w:t xml:space="preserve">Case A: The Eco-School Initiative</w:t>
      </w:r>
    </w:p>
    <w:p>
      <w:pPr>
        <w:numPr>
          <w:ilvl w:val="0"/>
          <w:numId w:val="1003"/>
        </w:numPr>
        <w:pStyle w:val="Compact"/>
      </w:pPr>
      <w:r>
        <w:t xml:space="preserve">School Type Comprehensive Institute with Scientific Focus.</w:t>
      </w:r>
    </w:p>
    <w:p>
      <w:pPr>
        <w:numPr>
          <w:ilvl w:val="0"/>
          <w:numId w:val="1003"/>
        </w:numPr>
        <w:pStyle w:val="Compact"/>
      </w:pPr>
      <w:r>
        <w:t xml:space="preserve">Action Plan Students collaborate with local environmental agencies to monitor air quality in Milan’s industrial zones. They use data analysis tools and present findings to city council members.</w:t>
      </w:r>
    </w:p>
    <w:p>
      <w:pPr>
        <w:numPr>
          <w:ilvl w:val="0"/>
          <w:numId w:val="1003"/>
        </w:numPr>
        <w:pStyle w:val="Compact"/>
      </w:pPr>
      <w:r>
        <w:t xml:space="preserve">Outcome Improved civic engagement enhanced data literacy skills stronger community partnerships.</w:t>
      </w:r>
    </w:p>
    <w:bookmarkEnd w:id="29"/>
    <w:bookmarkStart w:id="30" w:name="case-b-the-multilingual-language-hub"/>
    <w:p>
      <w:pPr>
        <w:pStyle w:val="Heading4"/>
      </w:pPr>
      <w:r>
        <w:t xml:space="preserve">Case B: The Multilingual Language Hub</w:t>
      </w:r>
    </w:p>
    <w:p>
      <w:pPr>
        <w:numPr>
          <w:ilvl w:val="0"/>
          <w:numId w:val="1004"/>
        </w:numPr>
        <w:pStyle w:val="Compact"/>
      </w:pPr>
      <w:r>
        <w:t xml:space="preserve">School Type Linguistic High School LICEO LINGUISTICO.</w:t>
      </w:r>
    </w:p>
    <w:bookmarkEnd w:id="30"/>
    <w:bookmarkStart w:id="31" w:name="case-c-the-entrepreneurship-lab"/>
    <w:p>
      <w:pPr>
        <w:pStyle w:val="Heading4"/>
      </w:pPr>
      <w:r>
        <w:t xml:space="preserve">Case C: The Entrepreneurship Lab</w:t>
      </w:r>
    </w:p>
    <w:p>
      <w:pPr>
        <w:numPr>
          <w:ilvl w:val="0"/>
          <w:numId w:val="1005"/>
        </w:numPr>
        <w:pStyle w:val="Compact"/>
      </w:pPr>
      <w:r>
        <w:t xml:space="preserve">School Type Technical Institute Istituto Tecnico Economico.</w:t>
      </w:r>
    </w:p>
    <w:bookmarkEnd w:id="31"/>
    <w:bookmarkEnd w:id="32"/>
    <w:bookmarkStart w:id="33" w:name="X6f9fdbe94918f99f085a378ae83e093b44c7d05"/>
    <w:p>
      <w:pPr>
        <w:pStyle w:val="Heading2"/>
      </w:pPr>
      <w:r>
        <w:t xml:space="preserve">5. Policy Recommendations for Sustaining Excellence</w:t>
      </w:r>
    </w:p>
    <w:p>
      <w:pPr>
        <w:pStyle w:val="FirstParagraph"/>
      </w:pPr>
      <w:r>
        <w:t xml:space="preserve">Based on the findings of this case study several recommendations emerge for policymakers school administrators and educational stakeholders in Milan.</w:t>
      </w:r>
    </w:p>
    <w:p>
      <w:pPr>
        <w:numPr>
          <w:ilvl w:val="0"/>
          <w:numId w:val="1006"/>
        </w:numPr>
        <w:pStyle w:val="Compact"/>
      </w:pPr>
      <w:r>
        <w:t xml:space="preserve">Enhanced Funding for Teacher Training: Allocate specific grants to support continuous professional development particularly in digital skills and inclusive pedagogy.</w:t>
      </w:r>
    </w:p>
    <w:p>
      <w:pPr>
        <w:numPr>
          <w:ilvl w:val="0"/>
          <w:numId w:val="1006"/>
        </w:numPr>
        <w:pStyle w:val="Compact"/>
      </w:pPr>
      <w:r>
        <w:t xml:space="preserve">Strengthen Community Partnerships: Formalize relationships between schools local businesses universities and cultural institutions to provide authentic learning experiences.</w:t>
      </w:r>
    </w:p>
    <w:p>
      <w:pPr>
        <w:numPr>
          <w:ilvl w:val="0"/>
          <w:numId w:val="1006"/>
        </w:numPr>
        <w:pStyle w:val="Compact"/>
      </w:pPr>
      <w:r>
        <w:t xml:space="preserve">Promote Work-Life Balance for Educators: Implement policies that reduce administrative burdens allowing</w:t>
      </w:r>
      <w:r>
        <w:t xml:space="preserve"> </w:t>
      </w:r>
      <w:r>
        <w:rPr>
          <w:bCs/>
          <w:b/>
        </w:rPr>
        <w:t xml:space="preserve">Teacher Secondary</w:t>
      </w:r>
      <w:r>
        <w:t xml:space="preserve"> </w:t>
      </w:r>
      <w:r>
        <w:t xml:space="preserve">professionals to focus more on student interaction and less on paperwork.</w:t>
      </w:r>
    </w:p>
    <w:p>
      <w:pPr>
        <w:numPr>
          <w:ilvl w:val="0"/>
          <w:numId w:val="1006"/>
        </w:numPr>
        <w:pStyle w:val="Compact"/>
      </w:pPr>
      <w:r>
        <w:t xml:space="preserve">Digital Equity Programs: Ensure all students have access to necessary technology both inside and outside school through public private partnerships.</w:t>
      </w:r>
    </w:p>
    <w:bookmarkEnd w:id="33"/>
    <w:bookmarkStart w:id="34" w:name="conclusion"/>
    <w:p>
      <w:pPr>
        <w:pStyle w:val="Heading2"/>
      </w:pPr>
      <w:r>
        <w:t xml:space="preserve">6. Conclusion</w:t>
      </w:r>
    </w:p>
    <w:p>
      <w:pPr>
        <w:pStyle w:val="FirstParagraph"/>
      </w:pPr>
      <w:r>
        <w:t xml:space="preserve">The future of secondary education in Italy Milan hinges on its ability to adapt while preserving its rich cultural heritage. By embracing innovation diversity and collaboration schools can prepare the next generation for success in a rapidly changing world. The</w:t>
      </w:r>
      <w:r>
        <w:t xml:space="preserve"> </w:t>
      </w:r>
      <w:r>
        <w:rPr>
          <w:bCs/>
          <w:b/>
        </w:rPr>
        <w:t xml:space="preserve">Teacher Secondary</w:t>
      </w:r>
    </w:p>
    <w:p>
      <w:pPr>
        <w:pStyle w:val="BodyText"/>
      </w:pPr>
      <w:r>
        <w:t xml:space="preserve">As Milan continues to grow as a global city its educational system must reflect that ambition. Through strategic investment professional development and community engagement Italy can set an example for secondary education reform across Europe.</w:t>
      </w:r>
    </w:p>
    <w:bookmarkEnd w:id="34"/>
    <w:bookmarkStart w:id="35" w:name="references"/>
    <w:p>
      <w:pPr>
        <w:pStyle w:val="Heading2"/>
      </w:pPr>
      <w:r>
        <w:t xml:space="preserve">References</w:t>
      </w:r>
    </w:p>
    <w:p>
      <w:pPr>
        <w:numPr>
          <w:ilvl w:val="0"/>
          <w:numId w:val="1007"/>
        </w:numPr>
        <w:pStyle w:val="Compact"/>
      </w:pPr>
      <w:r>
        <w:t xml:space="preserve">Istat National Institute of Statistics Data on Educational Attainment in Lombardy Region.</w:t>
      </w:r>
    </w:p>
    <w:p>
      <w:pPr>
        <w:numPr>
          <w:ilvl w:val="0"/>
          <w:numId w:val="1007"/>
        </w:numPr>
        <w:pStyle w:val="Compact"/>
      </w:pPr>
      <w:r>
        <w:t xml:space="preserve">Milan Metropolitan City Education Department Annual Reports 2019-2023.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Education in Italy Milan</dc:title>
  <dc:creator/>
  <dc:language>en</dc:language>
  <cp:keywords/>
  <dcterms:created xsi:type="dcterms:W3CDTF">2026-07-29T06:51:56Z</dcterms:created>
  <dcterms:modified xsi:type="dcterms:W3CDTF">2026-07-29T06:51:56Z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