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Tokyo</w:t>
      </w:r>
    </w:p>
    <w:bookmarkStart w:id="20" w:name="X9bd7908280ff2843c28c66aa167d1b9cb59fe92"/>
    <w:p>
      <w:pPr>
        <w:pStyle w:val="Heading1"/>
      </w:pPr>
      <w:r>
        <w:t xml:space="preserve">A Strategic Case Study on the Role of the Teacher Secondary within the Educational Ecosystem of Japan Tokyo</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Academic and Professional Analysis</w:t>
      </w:r>
      <w:r>
        <w:br/>
      </w:r>
      <w:r>
        <w:rPr>
          <w:bCs/>
          <w:b/>
        </w:rPr>
        <w:t xml:space="preserve">Focused Region:</w:t>
      </w:r>
      <w:r>
        <w:t xml:space="preserve"> </w:t>
      </w:r>
      <w:r>
        <w:t xml:space="preserve">Japan, Tokyo Metropolis</w:t>
      </w:r>
    </w:p>
    <w:bookmarkEnd w:id="20"/>
    <w:bookmarkStart w:id="22" w:name="introduction"/>
    <w:bookmarkStart w:id="21" w:name="X7dcbe1309a6c4ceca13250499689c8557e6cd13"/>
    <w:p>
      <w:pPr>
        <w:pStyle w:val="Heading2"/>
      </w:pPr>
      <w:r>
        <w:t xml:space="preserve">I. Introduction: The Context of Education in Japan Tokyo</w:t>
      </w:r>
    </w:p>
    <w:p>
      <w:pPr>
        <w:pStyle w:val="FirstParagraph"/>
      </w:pPr>
      <w:r>
        <w:t xml:space="preserve">The educational landscape in the modern era is undergoing a profound transformation, driven by technological advancements, shifting demographic trends, and evolving pedagogical philosophies. Within this global context, the case study focuses specifically on the specialized role of the</w:t>
      </w:r>
      <w:r>
        <w:t xml:space="preserve"> </w:t>
      </w:r>
      <w:r>
        <w:rPr>
          <w:bCs/>
          <w:b/>
        </w:rPr>
        <w:t xml:space="preserve">Teacher Secondary</w:t>
      </w:r>
      <w:r>
        <w:t xml:space="preserve"> </w:t>
      </w:r>
      <w:r>
        <w:t xml:space="preserve">within one of the world’s most dynamic metropolitan areas:</w:t>
      </w:r>
      <w:r>
        <w:t xml:space="preserve"> </w:t>
      </w:r>
      <w:r>
        <w:rPr>
          <w:bCs/>
          <w:b/>
        </w:rPr>
        <w:t xml:space="preserve">Japan Tokyo</w:t>
      </w:r>
      <w:r>
        <w:t xml:space="preserve">. This document serves to analyze how a secondary level teacher functions not merely as an instructor of subjects, but as a pivotal figure in shaping adolescent development, cultural integration, and future readiness in the heart of Japan. The city of</w:t>
      </w:r>
      <w:r>
        <w:t xml:space="preserve"> </w:t>
      </w:r>
      <w:r>
        <w:rPr>
          <w:bCs/>
          <w:b/>
        </w:rPr>
        <w:t xml:space="preserve">Japan Tokyo</w:t>
      </w:r>
      <w:r>
        <w:t xml:space="preserve"> </w:t>
      </w:r>
      <w:r>
        <w:t xml:space="preserve">presents unique challenges and opportunities due to its density, technological infrastructure, and intense academic pressure (goukon), making it an ideal setting for examining the multifaceted duties of a</w:t>
      </w:r>
      <w:r>
        <w:t xml:space="preserve"> </w:t>
      </w:r>
      <w:r>
        <w:rPr>
          <w:bCs/>
          <w:b/>
        </w:rPr>
        <w:t xml:space="preserve">Teacher Secondary</w:t>
      </w:r>
      <w:r>
        <w:t xml:space="preserve">.</w:t>
      </w:r>
    </w:p>
    <w:bookmarkEnd w:id="21"/>
    <w:bookmarkEnd w:id="22"/>
    <w:bookmarkStart w:id="25" w:name="role-definition"/>
    <w:bookmarkStart w:id="24" w:name="X1498260bbbb6538a2c6a16a97036213361b6c24"/>
    <w:p>
      <w:pPr>
        <w:pStyle w:val="Heading2"/>
      </w:pPr>
      <w:r>
        <w:t xml:space="preserve">II. Defining the Teacher Secondary in the Japanese Context</w:t>
      </w:r>
    </w:p>
    <w:p>
      <w:pPr>
        <w:pStyle w:val="FirstParagraph"/>
      </w:pPr>
      <w:r>
        <w:t xml:space="preserve">To understand the impact of a</w:t>
      </w:r>
      <w:r>
        <w:t xml:space="preserve"> </w:t>
      </w:r>
      <w:r>
        <w:rPr>
          <w:bCs/>
          <w:b/>
        </w:rPr>
        <w:t xml:space="preserve">Tokyo Japan Teacher Secondary</w:t>
      </w:r>
      <w:r>
        <w:t xml:space="preserve">, one must first define the scope of their responsibilities within the Japanese education system, known as "Sougou Jugyou" (comprehensive teaching). Unlike many Western systems where teachers specialize strictly in subject matter, a</w:t>
      </w:r>
      <w:r>
        <w:t xml:space="preserve"> </w:t>
      </w:r>
      <w:r>
        <w:rPr>
          <w:bCs/>
          <w:b/>
        </w:rPr>
        <w:t xml:space="preserve">Teacher Secondary</w:t>
      </w:r>
      <w:r>
        <w:t xml:space="preserve"> </w:t>
      </w:r>
      <w:r>
        <w:t xml:space="preserve">in Tokyo often serves a dual role: that of an academic instructor and that of a pastoral caregiver. In</w:t>
      </w:r>
      <w:r>
        <w:t xml:space="preserve"> </w:t>
      </w:r>
      <w:r>
        <w:rPr>
          <w:bCs/>
          <w:b/>
        </w:rPr>
        <w:t xml:space="preserve">Japan Tokyo</w:t>
      </w:r>
      <w:r>
        <w:t xml:space="preserve">, the concept of "class teacher" (Numachi) is prevalent. A student typically remains with the same class advisor from first to third year of junior high school or high school.</w:t>
      </w:r>
    </w:p>
    <w:bookmarkStart w:id="23" w:name="the-dual-role"/>
    <w:p>
      <w:pPr>
        <w:pStyle w:val="Heading3"/>
      </w:pPr>
      <w:r>
        <w:t xml:space="preserve">The Dual Role</w:t>
      </w:r>
    </w:p>
    <w:p>
      <w:pPr>
        <w:numPr>
          <w:ilvl w:val="0"/>
          <w:numId w:val="1001"/>
        </w:numPr>
        <w:pStyle w:val="Compact"/>
      </w:pPr>
      <w:r>
        <w:rPr>
          <w:bCs/>
          <w:b/>
        </w:rPr>
        <w:t xml:space="preserve">Pedagogical Expert:</w:t>
      </w:r>
      <w:r>
        <w:t xml:space="preserve"> </w:t>
      </w:r>
      <w:r>
        <w:t xml:space="preserve">Delivering curriculum aligned with the Ministry of Education, Culture, Sports, Science and Technology (MEXT) standards.</w:t>
      </w:r>
    </w:p>
    <w:p>
      <w:pPr>
        <w:numPr>
          <w:ilvl w:val="0"/>
          <w:numId w:val="1001"/>
        </w:numPr>
        <w:pStyle w:val="Compact"/>
      </w:pPr>
      <w:r>
        <w:rPr>
          <w:bCs/>
          <w:b/>
        </w:rPr>
        <w:t xml:space="preserve">Social Mentor:</w:t>
      </w:r>
      <w:r>
        <w:t xml:space="preserve"> </w:t>
      </w:r>
      <w:r>
        <w:t xml:space="preserve">Acting as a first responder to social issues such as bullying (ijime), school refusal (futoukou), and mental health struggles common among adolescents in high-pressure environments.</w:t>
      </w:r>
    </w:p>
    <w:bookmarkEnd w:id="23"/>
    <w:p>
      <w:pPr>
        <w:pStyle w:val="FirstParagraph"/>
      </w:pPr>
      <w:r>
        <w:t xml:space="preserve">In the specific context of</w:t>
      </w:r>
      <w:r>
        <w:t xml:space="preserve"> </w:t>
      </w:r>
      <w:r>
        <w:rPr>
          <w:bCs/>
          <w:b/>
        </w:rPr>
        <w:t xml:space="preserve">Tokyo Japan</w:t>
      </w:r>
      <w:r>
        <w:t xml:space="preserve">, the density of resources and diversity of student populations mean that a</w:t>
      </w:r>
      <w:r>
        <w:t xml:space="preserve"> </w:t>
      </w:r>
      <w:r>
        <w:rPr>
          <w:bCs/>
          <w:b/>
        </w:rPr>
        <w:t xml:space="preserve">Tokyo Secondary Teacher</w:t>
      </w:r>
      <w:r>
        <w:t xml:space="preserve"> </w:t>
      </w:r>
      <w:r>
        <w:t xml:space="preserve">must be adaptable. They interact with students who may have varying levels of proficiency in Japanese, including foreign residents and returnees (kikokushijuu), requiring cultural sensitivity alongside academic rigor.</w:t>
      </w:r>
    </w:p>
    <w:bookmarkEnd w:id="24"/>
    <w:bookmarkEnd w:id="25"/>
    <w:bookmarkStart w:id="30" w:name="challenges"/>
    <w:bookmarkStart w:id="29" w:name="X0a7d5712e73c223ae5a89c4ee0d2adeb12417b5"/>
    <w:p>
      <w:pPr>
        <w:pStyle w:val="Heading2"/>
      </w:pPr>
      <w:r>
        <w:t xml:space="preserve">III. Key Challenges Facing the Teacher Secondary in Japan Tokyo</w:t>
      </w:r>
    </w:p>
    <w:bookmarkStart w:id="26" w:name="Xeb6d9bda63429ebf2373b25c8772ab13404c756"/>
    <w:p>
      <w:pPr>
        <w:pStyle w:val="Heading3"/>
      </w:pPr>
      <w:r>
        <w:t xml:space="preserve">A. Academic Pressure and University Entrance Exams</w:t>
      </w:r>
    </w:p>
    <w:p>
      <w:pPr>
        <w:pStyle w:val="FirstParagraph"/>
      </w:pPr>
      <w:r>
        <w:t xml:space="preserve">The primary driver of stress for secondary students in Tokyo is the university entrance examination system. A</w:t>
      </w:r>
      <w:r>
        <w:t xml:space="preserve"> </w:t>
      </w:r>
      <w:r>
        <w:rPr>
          <w:bCs/>
          <w:b/>
        </w:rPr>
        <w:t xml:space="preserve">Tokyo Teacher Secondary</w:t>
      </w:r>
      <w:r>
        <w:t xml:space="preserve"> </w:t>
      </w:r>
      <w:r>
        <w:t xml:space="preserve">operates under immense pressure to ensure high pass rates for prestigious universities. This creates a high-stakes environment where academic performance is often equated with future success. The teacher must balance curriculum delivery with intensive exam preparation, often working late hours to provide remedial lessons or counseling for students falling behind.</w:t>
      </w:r>
    </w:p>
    <w:bookmarkEnd w:id="26"/>
    <w:bookmarkStart w:id="27" w:name="b.-social-dynamics-and-mental-health"/>
    <w:p>
      <w:pPr>
        <w:pStyle w:val="Heading3"/>
      </w:pPr>
      <w:r>
        <w:t xml:space="preserve">B. Social Dynamics and Mental Health</w:t>
      </w:r>
    </w:p>
    <w:p>
      <w:pPr>
        <w:pStyle w:val="FirstParagraph"/>
      </w:pPr>
      <w:r>
        <w:t xml:space="preserve">Tokyo’s competitive atmosphere can exacerbate social anxiety among teenagers. A significant challenge for a</w:t>
      </w:r>
      <w:r>
        <w:t xml:space="preserve"> </w:t>
      </w:r>
      <w:r>
        <w:rPr>
          <w:bCs/>
          <w:b/>
        </w:rPr>
        <w:t xml:space="preserve">Tokyo Japan Teacher Secondary</w:t>
      </w:r>
      <w:r>
        <w:t xml:space="preserve"> </w:t>
      </w:r>
      <w:r>
        <w:t xml:space="preserve">is identifying and mitigating bullying and social isolation. The concept of "reading the air" (kuuki wo yomu) in Japanese culture can make it difficult for students to voice dissatisfaction or distress openly. Therefore, a proactive</w:t>
      </w:r>
      <w:r>
        <w:t xml:space="preserve"> </w:t>
      </w:r>
      <w:r>
        <w:rPr>
          <w:bCs/>
          <w:b/>
        </w:rPr>
        <w:t xml:space="preserve">Teacher Secondary</w:t>
      </w:r>
      <w:r>
        <w:t xml:space="preserve"> </w:t>
      </w:r>
      <w:r>
        <w:t xml:space="preserve">must cultivate a classroom environment that encourages open communication, requiring high emotional intelligence and strong relationship-building skills.</w:t>
      </w:r>
    </w:p>
    <w:bookmarkEnd w:id="27"/>
    <w:bookmarkStart w:id="28" w:name="X1fb83acd93b54f8fafc2a1258de632a4227ce67"/>
    <w:p>
      <w:pPr>
        <w:pStyle w:val="Heading3"/>
      </w:pPr>
      <w:r>
        <w:t xml:space="preserve">C. Technological Integration vs. Traditional Methods</w:t>
      </w:r>
    </w:p>
    <w:p>
      <w:pPr>
        <w:pStyle w:val="FirstParagraph"/>
      </w:pPr>
      <w:r>
        <w:rPr>
          <w:bCs/>
          <w:b/>
        </w:rPr>
        <w:t xml:space="preserve">Tokyo Japan</w:t>
      </w:r>
      <w:r>
        <w:t xml:space="preserve"> </w:t>
      </w:r>
      <w:r>
        <w:t xml:space="preserve">is a hub for technological innovation. However, the integration of digital tools in secondary education varies. A modern</w:t>
      </w:r>
      <w:r>
        <w:t xml:space="preserve"> </w:t>
      </w:r>
      <w:r>
        <w:rPr>
          <w:bCs/>
          <w:b/>
        </w:rPr>
        <w:t xml:space="preserve">Tokyo Teacher Secondary</w:t>
      </w:r>
      <w:r>
        <w:t xml:space="preserve"> </w:t>
      </w:r>
      <w:r>
        <w:t xml:space="preserve">must navigate the tension between traditional rote-learning methods and emerging pedagogical approaches that emphasize critical thinking, collaboration, and digital literacy. The role now includes guiding students through information literacy—helping them discern credible sources from misinformation in an increasingly online world.</w:t>
      </w:r>
    </w:p>
    <w:bookmarkEnd w:id="28"/>
    <w:bookmarkEnd w:id="29"/>
    <w:bookmarkEnd w:id="30"/>
    <w:bookmarkStart w:id="32" w:name="strategies"/>
    <w:bookmarkStart w:id="31" w:name="Xf5047c90fc16c43d98fb4b01cac958feecd0f87"/>
    <w:p>
      <w:pPr>
        <w:pStyle w:val="Heading2"/>
      </w:pPr>
      <w:r>
        <w:t xml:space="preserve">IV. Strategic Approaches for Effective Teaching</w:t>
      </w:r>
    </w:p>
    <w:p>
      <w:pPr>
        <w:pStyle w:val="FirstParagraph"/>
      </w:pPr>
      <w:r>
        <w:t xml:space="preserve">To address these challenges, successful practitioners of the role of a secondary teacher in Tokyo adopt several strategic approaches:</w:t>
      </w:r>
    </w:p>
    <w:p>
      <w:pPr>
        <w:numPr>
          <w:ilvl w:val="0"/>
          <w:numId w:val="1002"/>
        </w:numPr>
        <w:pStyle w:val="Compact"/>
      </w:pPr>
      <w:r>
        <w:rPr>
          <w:bCs/>
          <w:b/>
        </w:rPr>
        <w:t xml:space="preserve">Gamification and Engagement:</w:t>
      </w:r>
      <w:r>
        <w:t xml:space="preserve"> </w:t>
      </w:r>
      <w:r>
        <w:t xml:space="preserve">Utilizing game-based learning to make complex subjects more accessible. In a city like Tokyo, where students are digitally native, incorporating interactive elements helps maintain engagement during long school days.</w:t>
      </w:r>
    </w:p>
    <w:p>
      <w:pPr>
        <w:numPr>
          <w:ilvl w:val="0"/>
          <w:numId w:val="1002"/>
        </w:numPr>
        <w:pStyle w:val="Compact"/>
      </w:pPr>
      <w:r>
        <w:rPr>
          <w:bCs/>
          <w:b/>
        </w:rPr>
        <w:t xml:space="preserve">Collaborative Professional Learning Communities (PLCs):</w:t>
      </w:r>
      <w:r>
        <w:t xml:space="preserve"> </w:t>
      </w:r>
      <w:r>
        <w:t xml:space="preserve">A</w:t>
      </w:r>
      <w:r>
        <w:t xml:space="preserve"> </w:t>
      </w:r>
      <w:r>
        <w:rPr>
          <w:bCs/>
          <w:b/>
        </w:rPr>
        <w:t xml:space="preserve">Tokyo Secondary Teacher</w:t>
      </w:r>
      <w:r>
        <w:t xml:space="preserve"> </w:t>
      </w:r>
      <w:r>
        <w:t xml:space="preserve">rarely works in isolation. They participate in regular PLCs within their schools to share best practices, discuss student data, and coordinate support for struggling students. This collective approach ensures that the burden is shared and that interventions are consistent.</w:t>
      </w:r>
    </w:p>
    <w:p>
      <w:pPr>
        <w:numPr>
          <w:ilvl w:val="0"/>
          <w:numId w:val="1002"/>
        </w:numPr>
        <w:pStyle w:val="Compact"/>
      </w:pPr>
      <w:r>
        <w:rPr>
          <w:bCs/>
          <w:b/>
        </w:rPr>
        <w:t xml:space="preserve">Heterogeneous Group Work:</w:t>
      </w:r>
      <w:r>
        <w:t xml:space="preserve"> </w:t>
      </w:r>
      <w:r>
        <w:t xml:space="preserve">Promoting social cohesion by mixing students of different academic abilities and backgrounds in group projects. This helps break down cliques and fosters a sense of community, directly combating the isolation often seen in large urban schools.</w:t>
      </w:r>
    </w:p>
    <w:p>
      <w:pPr>
        <w:numPr>
          <w:ilvl w:val="0"/>
          <w:numId w:val="1002"/>
        </w:numPr>
        <w:pStyle w:val="Compact"/>
      </w:pPr>
      <w:r>
        <w:rPr>
          <w:bCs/>
          <w:b/>
        </w:rPr>
        <w:t xml:space="preserve">Mental Health First Aid:</w:t>
      </w:r>
      <w:r>
        <w:t xml:space="preserve"> </w:t>
      </w:r>
      <w:r>
        <w:t xml:space="preserve">Increasingly, teachers in Tokyo are receiving training in mental health first aid. A</w:t>
      </w:r>
      <w:r>
        <w:t xml:space="preserve"> </w:t>
      </w:r>
      <w:r>
        <w:rPr>
          <w:bCs/>
          <w:b/>
        </w:rPr>
        <w:t xml:space="preserve">Tokyo Japan Teacher Secondary</w:t>
      </w:r>
      <w:r>
        <w:t xml:space="preserve"> </w:t>
      </w:r>
      <w:r>
        <w:t xml:space="preserve">is expected to recognize early signs of distress and refer students to school counselors or external professionals, acting as a bridge between the student and professional help.</w:t>
      </w:r>
    </w:p>
    <w:bookmarkEnd w:id="31"/>
    <w:bookmarkEnd w:id="32"/>
    <w:bookmarkStart w:id="34" w:name="case-example"/>
    <w:bookmarkStart w:id="33" w:name="X6814afcdd0bdfe4123d9883d219c63de775e107"/>
    <w:p>
      <w:pPr>
        <w:pStyle w:val="Heading2"/>
      </w:pPr>
      <w:r>
        <w:t xml:space="preserve">V. Illustrative Case Example: The 'Returnee' Student in Shinjuku</w:t>
      </w:r>
    </w:p>
    <w:p>
      <w:pPr>
        <w:pStyle w:val="FirstParagraph"/>
      </w:pPr>
      <w:r>
        <w:t xml:space="preserve">To illustrate these dynamics, consider a hypothetical case study of "Kenji," a student in his second year of junior high school in Shinjuku Ward, Tokyo. Kenji is a returnee who spent his elementary years abroad. He struggles with the rigid structure and intense memorization required by the Tokyo curriculum. His</w:t>
      </w:r>
      <w:r>
        <w:t xml:space="preserve"> </w:t>
      </w:r>
      <w:r>
        <w:rPr>
          <w:bCs/>
          <w:b/>
        </w:rPr>
        <w:t xml:space="preserve">Tokyo Secondary Teacher</w:t>
      </w:r>
      <w:r>
        <w:t xml:space="preserve">, Ms. Sato, notices his withdrawal and declining grades.</w:t>
      </w:r>
    </w:p>
    <w:p>
      <w:pPr>
        <w:pStyle w:val="BodyText"/>
      </w:pPr>
      <w:r>
        <w:t xml:space="preserve">Ms. Sato does not merely reprimand Kenji for poor performance. Instead, she leverages her role as a</w:t>
      </w:r>
      <w:r>
        <w:t xml:space="preserve"> </w:t>
      </w:r>
      <w:r>
        <w:rPr>
          <w:bCs/>
          <w:b/>
        </w:rPr>
        <w:t xml:space="preserve">Teacher Secondary</w:t>
      </w:r>
      <w:r>
        <w:t xml:space="preserve"> </w:t>
      </w:r>
      <w:r>
        <w:t xml:space="preserve">to investigate the root cause. She discovers that Kenji feels alienated by his peers’ lack of interest in global issues, which are central to his identity. Recognizing this, Ms. Sato integrates international perspectives into her geography lesson and assigns Kenji a role where he can share his overseas experiences. This strategy not only boosts Kenji’s confidence but also enriches the classroom dialogue for all students.</w:t>
      </w:r>
    </w:p>
    <w:p>
      <w:pPr>
        <w:pStyle w:val="BodyText"/>
      </w:pPr>
      <w:r>
        <w:t xml:space="preserve">This example highlights how a</w:t>
      </w:r>
      <w:r>
        <w:t xml:space="preserve"> </w:t>
      </w:r>
      <w:r>
        <w:rPr>
          <w:bCs/>
          <w:b/>
        </w:rPr>
        <w:t xml:space="preserve">Teacher Secondary</w:t>
      </w:r>
      <w:r>
        <w:t xml:space="preserve"> </w:t>
      </w:r>
      <w:r>
        <w:t xml:space="preserve">in Tokyo serves as a cultural mediator and academic differentiator, adapting standard curricula to meet individual student needs within the collective framework.</w:t>
      </w:r>
    </w:p>
    <w:bookmarkEnd w:id="33"/>
    <w:bookmarkEnd w:id="34"/>
    <w:bookmarkStart w:id="36" w:name="conclusion"/>
    <w:bookmarkStart w:id="35" w:name="X962e563685085665d56b7ef877750f58114dd71"/>
    <w:p>
      <w:pPr>
        <w:pStyle w:val="Heading2"/>
      </w:pPr>
      <w:r>
        <w:t xml:space="preserve">VI. Conclusion: The Future of the Teacher Secondary in Japan Tokyo</w:t>
      </w:r>
    </w:p>
    <w:p>
      <w:pPr>
        <w:pStyle w:val="FirstParagraph"/>
      </w:pPr>
      <w:r>
        <w:t xml:space="preserve">The role of a secondary teacher in Tokyo is evolving from that of a knowledge transmitter to a facilitator of holistic development. In the high-pressure, fast-paced environment of</w:t>
      </w:r>
      <w:r>
        <w:t xml:space="preserve"> </w:t>
      </w:r>
      <w:r>
        <w:rPr>
          <w:bCs/>
          <w:b/>
        </w:rPr>
        <w:t xml:space="preserve">Japan Tokyo</w:t>
      </w:r>
      <w:r>
        <w:t xml:space="preserve">, the effectiveness of an education system relies heavily on the resilience and adaptability of its educators. The</w:t>
      </w:r>
      <w:r>
        <w:t xml:space="preserve"> </w:t>
      </w:r>
      <w:r>
        <w:rPr>
          <w:bCs/>
          <w:b/>
        </w:rPr>
        <w:t xml:space="preserve">Tokyo Japan Teacher Secondary</w:t>
      </w:r>
      <w:r>
        <w:t xml:space="preserve"> </w:t>
      </w:r>
      <w:r>
        <w:t xml:space="preserve">must balance academic excellence with emotional support, technological proficiency with cultural preservation.</w:t>
      </w:r>
    </w:p>
    <w:p>
      <w:pPr>
        <w:pStyle w:val="BodyText"/>
      </w:pPr>
      <w:r>
        <w:t xml:space="preserve">As Japan continues to address declining birthrates and an aging population, the quality of secondary education becomes a national priority. Enhancing the capacity of teachers to handle diverse student needs in urban centers like Tokyo is essential. Future training programs must emphasize psychological support, digital pedagogy, and inclusive practices.</w:t>
      </w:r>
    </w:p>
    <w:p>
      <w:pPr>
        <w:pStyle w:val="BodyText"/>
      </w:pPr>
      <w:r>
        <w:t xml:space="preserve">In summary, the success of students in</w:t>
      </w:r>
      <w:r>
        <w:t xml:space="preserve"> </w:t>
      </w:r>
      <w:r>
        <w:rPr>
          <w:bCs/>
          <w:b/>
        </w:rPr>
        <w:t xml:space="preserve">Japan Tokyo</w:t>
      </w:r>
      <w:r>
        <w:t xml:space="preserve"> </w:t>
      </w:r>
      <w:r>
        <w:t xml:space="preserve">is inextricably linked to the multifaceted efforts of their secondary teachers. By embracing a comprehensive approach that addresses academic, social, and emotional dimensions, a</w:t>
      </w:r>
      <w:r>
        <w:t xml:space="preserve"> </w:t>
      </w:r>
      <w:r>
        <w:rPr>
          <w:bCs/>
          <w:b/>
        </w:rPr>
        <w:t xml:space="preserve">Tokyo Secondary Teacher</w:t>
      </w:r>
      <w:r>
        <w:t xml:space="preserve"> </w:t>
      </w:r>
      <w:r>
        <w:t xml:space="preserve">plays a critical role in shaping the next generation of Japanese citizens capable of thriving in an increasingly complex global landscape.</w:t>
      </w:r>
    </w:p>
    <w:bookmarkEnd w:id="35"/>
    <w:bookmarkEnd w:id="36"/>
    <w:p>
      <w:pPr>
        <w:pStyle w:val="BodyText"/>
      </w:pPr>
      <w:r>
        <w:t xml:space="preserve">This Case Study was prepared for educational and professional development purposes. All names are fictional.</w:t>
      </w:r>
    </w:p>
    <w:p>
      <w:pPr>
        <w:pStyle w:val="BodyText"/>
      </w:pPr>
      <w:r>
        <w:t xml:space="preserve">© 2023 Educational Analysis Group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Japan Tokyo</dc:title>
  <dc:creator/>
  <dc:language>en</dc:language>
  <cp:keywords/>
  <dcterms:created xsi:type="dcterms:W3CDTF">2026-07-29T11:36:07Z</dcterms:created>
  <dcterms:modified xsi:type="dcterms:W3CDTF">2026-07-29T11:36:07Z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