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Kuwait</w:t>
      </w:r>
      <w:r>
        <w:t xml:space="preserve"> </w:t>
      </w:r>
      <w:r>
        <w:t xml:space="preserve">City</w:t>
      </w:r>
    </w:p>
    <w:bookmarkStart w:id="25" w:name="Xbba60670984aa2005bd4e75db3027def0d365a2"/>
    <w:p>
      <w:pPr>
        <w:pStyle w:val="Heading1"/>
      </w:pPr>
      <w:r>
        <w:t xml:space="preserve">Case Study: The Evolving Role of the Teacher Secondary in Kuwait City</w:t>
      </w:r>
    </w:p>
    <w:p>
      <w:pPr>
        <w:pStyle w:val="FirstParagraph"/>
      </w:pPr>
      <w:r>
        <w:rPr>
          <w:bCs/>
          <w:b/>
        </w:rPr>
        <w:t xml:space="preserve">Date:</w:t>
      </w:r>
      <w:r>
        <w:t xml:space="preserve"> </w:t>
      </w:r>
      <w:r>
        <w:t xml:space="preserve">October 2023</w:t>
      </w:r>
      <w:r>
        <w:br/>
      </w:r>
    </w:p>
    <w:p>
      <w:pPr>
        <w:pStyle w:val="BodyText"/>
      </w:pPr>
      <w:r>
        <w:t xml:space="preserve">Kuwait Kuwait City</w:t>
      </w:r>
      <w:r>
        <w:br/>
      </w:r>
      <w:r>
        <w:t xml:space="preserve">The Integration of Technology and Cultural Pedagogy in Secondary Education</w:t>
      </w:r>
      <w:r>
        <w:t xml:space="preserve"> </w:t>
      </w:r>
      <w:r>
        <w:t xml:space="preserve">This case study examines the professional dynamics, challenges, and opportunities faced by the modern Teacher Secondary within the educational landscape of Kuwait City as part of the broader state Kuwait Kuwait City serves as a unique microcosm where traditional values meet rapid technological advancement This document explores how educators navigate curriculum reforms student engagement and cultural expectations while striving to meet international standards in secondary education.</w:t>
      </w:r>
    </w:p>
    <w:p>
      <w:pPr>
        <w:pStyle w:val="BodyText"/>
      </w:pPr>
      <w:r>
        <w:t xml:space="preserve">2. IntroductionThe education sector in Kuwait is undergoing a significant transformation driven by the national vision of "New Kuwait 2035" which emphasizes knowledge-based economy and innovation At the heart of this transformation lies the Teacher Secondary educator tasked with shaping adolescents during a critical developmental phase In Kuwait City particularly where population density and educational demand are high secondary schools face pressure to deliver quality education that balances academic rigor with holistic development This case study analyzes real-world scenarios encountered by teachers in this urban center highlighting both systemic strengths and areas requiring intervention.</w:t>
      </w:r>
    </w:p>
    <w:p>
      <w:pPr>
        <w:pStyle w:val="BodyText"/>
      </w:pPr>
      <w:r>
        <w:t xml:space="preserve">3. Contextual Background3.1 Geographic and Demographic Setting</w:t>
      </w:r>
    </w:p>
    <w:p>
      <w:pPr>
        <w:pStyle w:val="BodyText"/>
      </w:pPr>
      <w:r>
        <w:t xml:space="preserve">Kuwait City is the capital of Kuwait and serves as the hub for most major educational institutions The secondary school sector in this area caters to a diverse student body comprising local Kuwaiti citizens and expatriate residents who hold permanent residency visas This demographic diversity influences classroom dynamics requiring teachers to be culturally sensitive and adaptable In recent years there has been an influx of highly qualified educators from various regions bringing new pedagogical approaches into the local schools.</w:t>
      </w:r>
    </w:p>
    <w:bookmarkStart w:id="20" w:name="policy-framework"/>
    <w:p>
      <w:pPr>
        <w:pStyle w:val="Heading3"/>
      </w:pPr>
      <w:r>
        <w:t xml:space="preserve">3.2 Policy Framework</w:t>
      </w:r>
    </w:p>
    <w:p>
      <w:pPr>
        <w:pStyle w:val="FirstParagraph"/>
      </w:pPr>
      <w:r>
        <w:t xml:space="preserve">The Ministry of Education in Kuwait has implemented several initiatives aimed at modernizing secondary education These include integrating information technology into classrooms promoting critical thinking skills and enhancing Arabic language proficiency alongside English instruction For the Teacher Secondary these policies mean a shift from rote learning to student-centered inquiry-based learning However implementation varies across schools in Kuwait City depending on resource availability and administrative support.</w:t>
      </w:r>
    </w:p>
    <w:p>
      <w:pPr>
        <w:pStyle w:val="BodyText"/>
      </w:pPr>
      <w:r>
        <w:t xml:space="preserve">4. Profile of the Modern Teacher SecondaryThe contemporary Teacher Secondary in Kuwait City is expected to fulfill multiple roles beyond instruction They are mentors counselors and technologists all rolled into one profession typically requires a bachelor’s degree or higher in education along with specialized training in adolescent psychology Effective communication skills especially bilingual proficiency in Arabic and English are crucial due the multilingual environment of many secondary schools In addition teachers must stay updated on digital tools such as learning management systems LMS interactive whiteboards and virtual reality simulations which are increasingly common in Kuwait City’s progressive schools.</w:t>
      </w:r>
    </w:p>
    <w:p>
      <w:pPr>
        <w:pStyle w:val="BodyText"/>
      </w:pPr>
      <w:r>
        <w:t xml:space="preserve">5. Key Challenges5.1 Balancing Tradition and Modernity</w:t>
      </w:r>
    </w:p>
    <w:p>
      <w:pPr>
        <w:pStyle w:val="BodyText"/>
      </w:pPr>
      <w:r>
        <w:t xml:space="preserve">One of the primary challenges for the Teacher Secondary is balancing cultural traditions with modern educational practices While parents in Kuwait value strong moral character and respect for authority they also demand high academic standards This dual expectation creates tension when teachers attempt to introduce open-ended discussions or creative projects that may seem unconventional compared traditional teaching methods experienced educators learn to mediate between these expectations by framing innovative activities within culturally appropriate contexts.</w:t>
      </w:r>
    </w:p>
    <w:bookmarkEnd w:id="20"/>
    <w:bookmarkStart w:id="21" w:name="resource-disparities"/>
    <w:p>
      <w:pPr>
        <w:pStyle w:val="Heading3"/>
      </w:pPr>
      <w:r>
        <w:t xml:space="preserve">5.2 Resource Disparities</w:t>
      </w:r>
    </w:p>
    <w:p>
      <w:pPr>
        <w:pStyle w:val="FirstParagraph"/>
      </w:pPr>
      <w:r>
        <w:t xml:space="preserve">Although Kuwait City boasts some of the best-equipped schools in the region disparities exist between public and private institutions Public school teachers often face larger class sizes limited access to up-to-date materials while private school educators enjoy smaller groups but may encounter high parental expectations This inequity affects morale among Teacher Secondary professionals leading to burnout if not addressed through supportive administrative policies.</w:t>
      </w:r>
    </w:p>
    <w:bookmarkEnd w:id="21"/>
    <w:bookmarkStart w:id="22" w:name="student-engagement"/>
    <w:p>
      <w:pPr>
        <w:pStyle w:val="Heading3"/>
      </w:pPr>
      <w:r>
        <w:t xml:space="preserve">5.3 Student Engagement</w:t>
      </w:r>
    </w:p>
    <w:p>
      <w:pPr>
        <w:pStyle w:val="FirstParagraph"/>
      </w:pPr>
      <w:r>
        <w:t xml:space="preserve">Aging digital natives generation Z and Generation Alpha present unique engagement challenges Traditional lecture-based methods fail to captivate students accustomed instant access information via smartphones tablets Therefore Teacher Secondary must constantly innovate lesson plans incorporating gamification collaborative projects and real-world applications relevance to keep students motivated.</w:t>
      </w:r>
    </w:p>
    <w:p>
      <w:pPr>
        <w:pStyle w:val="BodyText"/>
      </w:pPr>
      <w:r>
        <w:t xml:space="preserve">6. Case Examples from Kuwait City SchoolsCase Example 1: Science Department Initiative</w:t>
      </w:r>
    </w:p>
    <w:p>
      <w:pPr>
        <w:pStyle w:val="BodyText"/>
      </w:pPr>
      <w:r>
        <w:t xml:space="preserve">In a prominent public secondary school located in Hawalli district a team of Teacher Secondary science teachers launched an experiment-based learning program called "Future Scientists." By partnering with local universities they allowed students to conduct hands-on experiments outside textbook scenarios This initiative resulted improved test scores increased interest pursuing STEM fields among female students breaking gender stereotypes prevalent earlier years.</w:t>
      </w:r>
    </w:p>
    <w:bookmarkEnd w:id="22"/>
    <w:bookmarkStart w:id="23" w:name="Xd2d8dacbf77d630f56a80e1710b0fa2a6c64bce"/>
    <w:p>
      <w:pPr>
        <w:pStyle w:val="Heading3"/>
      </w:pPr>
      <w:r>
        <w:t xml:space="preserve">Case Example 2: Language Arts Transformation</w:t>
      </w:r>
    </w:p>
    <w:p>
      <w:pPr>
        <w:pStyle w:val="FirstParagraph"/>
      </w:pPr>
      <w:r>
        <w:t xml:space="preserve">Another notable example comes from a private bilingual academy in Salmiya where Arabic literature classes were revamped using multimedia storytelling techniques Teachers Secondary utilized podcasts video documentaries and digital archives to bring classic texts alive Students produced their own creative works reflecting contemporary issues faced by youth in Kuwait City fostering deeper connection between literature societal realities.</w:t>
      </w:r>
    </w:p>
    <w:bookmarkEnd w:id="23"/>
    <w:bookmarkStart w:id="24" w:name="recommendations"/>
    <w:p>
      <w:pPr>
        <w:pStyle w:val="Heading2"/>
      </w:pPr>
      <w:r>
        <w:t xml:space="preserve">7. Recommendations</w:t>
      </w:r>
    </w:p>
    <w:p>
      <w:pPr>
        <w:numPr>
          <w:ilvl w:val="0"/>
          <w:numId w:val="1001"/>
        </w:numPr>
        <w:pStyle w:val="Compact"/>
      </w:pPr>
      <w:r>
        <w:rPr>
          <w:bCs/>
          <w:b/>
        </w:rPr>
        <w:t xml:space="preserve">Continuous Professional Development:</w:t>
      </w:r>
      <w:r>
        <w:t xml:space="preserve">The Ministry of Education should expand opportunities for ongoing training focusing on emerging technologies inclusive pedagogies mental health awareness specifically tailored to adolescent needs.</w:t>
      </w:r>
    </w:p>
    <w:p>
      <w:pPr>
        <w:numPr>
          <w:ilvl w:val="0"/>
          <w:numId w:val="1002"/>
        </w:numPr>
        <w:pStyle w:val="Compact"/>
      </w:pPr>
      <w:r>
        <w:t xml:space="preserve">Cultural Sensitivity Training: Encourage workshops promoting understanding diverse backgrounds among staff ensuring equitable treatment all students regardless ethnicity socioeconomic status.</w:t>
      </w:r>
    </w:p>
    <w:p>
      <w:pPr>
        <w:pStyle w:val="FirstParagraph"/>
      </w:pPr>
      <w:r>
        <w:t xml:space="preserve">To conclude addressing complex issues surrounding secondary education requires concerted effort stakeholders involved including policymakers administrators parents and most importantly dedicated Teacher Secondary professionals committed nurturing next generation leaders thinkers innovators equipped handle future challenges confidently responsibly grounded strong ethical foundations reflecting true spirit Kuwaiti heritage values embracing global perspectives simultaneously preserving unique identity distinctiveness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Kuwait City</dc:title>
  <dc:creator/>
  <dc:language>en</dc:language>
  <cp:keywords/>
  <dcterms:created xsi:type="dcterms:W3CDTF">2026-07-29T07:37:07Z</dcterms:created>
  <dcterms:modified xsi:type="dcterms:W3CDTF">2026-07-29T07:37:07Z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