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Profile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85477a0c27e85c0d5dc60d58be30caeef64cb63"/>
    <w:p>
      <w:pPr>
        <w:pStyle w:val="Heading1"/>
      </w:pPr>
      <w:r>
        <w:t xml:space="preserve">The Modern Educator in the Urban Center: A Case Study of the Secondary Teacher in Malaysia Kuala Lumpur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Malaysia Kuala Lumpur</w:t>
      </w:r>
    </w:p>
    <w:bookmarkStart w:id="20" w:name="abstract"/>
    <w:p>
      <w:pPr>
        <w:pStyle w:val="Heading2"/>
      </w:pPr>
      <w:r>
        <w:t xml:space="preserve">Abstract</w:t>
      </w:r>
    </w:p>
    <w:p>
      <w:pPr>
        <w:pStyle w:val="FirstParagraph"/>
      </w:pPr>
      <w:r>
        <w:t xml:space="preserve">This document presents a comprehensive case study analysis regarding the role, challenges, and pedagogical evolution of the</w:t>
      </w:r>
      <w:r>
        <w:t xml:space="preserve"> </w:t>
      </w:r>
      <w:r>
        <w:rPr>
          <w:iCs/>
          <w:i/>
        </w:rPr>
        <w:t xml:space="preserve">Secondary Teacher</w:t>
      </w:r>
      <w:r>
        <w:t xml:space="preserve">. The primary focus is situated within the dynamic educational landscape of</w:t>
      </w:r>
      <w:r>
        <w:t xml:space="preserve"> </w:t>
      </w:r>
      <w:r>
        <w:rPr>
          <w:iCs/>
          <w:i/>
        </w:rPr>
        <w:t xml:space="preserve">Malaysia Kuala Lumpur</w:t>
      </w:r>
      <w:r>
        <w:t xml:space="preserve">, a region that serves as both the economic heart and administrative capital of Malaysia. By examining the specific socio-economic and cultural context of this metropolitan area, we can derive critical insights into how modern teaching methodologies are being adapted to meet national standards while addressing local urban realities.</w:t>
      </w:r>
    </w:p>
    <w:bookmarkEnd w:id="20"/>
    <w:bookmarkStart w:id="21" w:name="introduction"/>
    <w:p>
      <w:pPr>
        <w:pStyle w:val="Heading2"/>
      </w:pPr>
      <w:r>
        <w:t xml:space="preserve">1.0 Introduction</w:t>
      </w:r>
    </w:p>
    <w:p>
      <w:pPr>
        <w:pStyle w:val="FirstParagraph"/>
      </w:pPr>
      <w:r>
        <w:t xml:space="preserve">The education sector in</w:t>
      </w:r>
      <w:r>
        <w:t xml:space="preserve"> </w:t>
      </w:r>
      <w:r>
        <w:rPr>
          <w:iCs/>
          <w:i/>
        </w:rPr>
        <w:t xml:space="preserve">Malaysia Kuala Lumpur</w:t>
      </w:r>
      <w:r>
        <w:t xml:space="preserve">, as the capital region, houses a significant concentration of high-performing schools and diverse student populations. The role of the secondary teacher here is far more complex than in rural districts due to the intense academic pressure, parental expectations, and cultural diversity inherent to an urban metropolis. This case study aims to deconstruct these complexities by analyzing a representative profile of a</w:t>
      </w:r>
      <w:r>
        <w:t xml:space="preserve"> </w:t>
      </w:r>
      <w:r>
        <w:rPr>
          <w:iCs/>
          <w:i/>
        </w:rPr>
        <w:t xml:space="preserve">Secondary Teacher</w:t>
      </w:r>
      <w:r>
        <w:t xml:space="preserve"> </w:t>
      </w:r>
      <w:r>
        <w:t xml:space="preserve">operating within this high-stakes environment.</w:t>
      </w:r>
    </w:p>
    <w:p>
      <w:pPr>
        <w:pStyle w:val="BodyText"/>
      </w:pPr>
      <w:r>
        <w:t xml:space="preserve">The objective is not merely to describe administrative duties but to understand the holistic experience of an educator who must navigate the Ministry of Education’s (MOE) Curriculum and Assessment Standard Documents (DSKP) while catering to students from varied socioeconomic backgrounds. This analysis highlights why</w:t>
      </w:r>
      <w:r>
        <w:t xml:space="preserve"> </w:t>
      </w:r>
      <w:r>
        <w:rPr>
          <w:iCs/>
          <w:i/>
        </w:rPr>
        <w:t xml:space="preserve">Malaysia Kuala Lumpur</w:t>
      </w:r>
      <w:r>
        <w:t xml:space="preserve"> </w:t>
      </w:r>
      <w:r>
        <w:t xml:space="preserve">requires a specialized approach to teacher training, retention, and professional development.</w:t>
      </w:r>
    </w:p>
    <w:bookmarkEnd w:id="21"/>
    <w:bookmarkStart w:id="22" w:name="Xfb54e3891001a76d614e862cbf56c3ca74feded"/>
    <w:p>
      <w:pPr>
        <w:pStyle w:val="Heading2"/>
      </w:pPr>
      <w:r>
        <w:t xml:space="preserve">2.0 Contextual Background: The Urban Landscape</w:t>
      </w:r>
    </w:p>
    <w:p>
      <w:pPr>
        <w:pStyle w:val="FirstParagraph"/>
      </w:pPr>
      <w:r>
        <w:rPr>
          <w:bCs/>
          <w:b/>
        </w:rPr>
        <w:t xml:space="preserve">Kuala Lumpur</w:t>
      </w:r>
      <w:r>
        <w:t xml:space="preserve">, being the most urbanized state in</w:t>
      </w:r>
    </w:p>
    <w:p>
      <w:pPr>
        <w:pStyle w:val="BodyText"/>
      </w:pPr>
      <w:r>
        <w:rPr>
          <w:bCs/>
          <w:b/>
        </w:rPr>
        <w:t xml:space="preserve">Malaysia</w:t>
      </w:r>
      <w:r>
        <w:t xml:space="preserve">, presents a unique paradox for educators. On one hand, schools are often better resourced with technology and infrastructure compared to East Malaysia or rural Peninsular states. On the other hand, the pace of life is faster, and distractions such as digital media consumption and urban peer pressure are more prevalent.</w:t>
      </w:r>
    </w:p>
    <w:p>
      <w:pPr>
        <w:pStyle w:val="BodyText"/>
      </w:pPr>
      <w:r>
        <w:t xml:space="preserve">In this setting, the</w:t>
      </w:r>
    </w:p>
    <w:p>
      <w:pPr>
        <w:pStyle w:val="BodyText"/>
      </w:pPr>
      <w:r>
        <w:rPr>
          <w:bCs/>
          <w:b/>
        </w:rPr>
        <w:t xml:space="preserve">Secondary Teacher</w:t>
      </w:r>
      <w:r>
        <w:t xml:space="preserve"> </w:t>
      </w:r>
      <w:r>
        <w:t xml:space="preserve">acts not only as an academic instructor but also as a counselor and moral compass. The demographic mix includes children of diplomats, corporate executives, local civil servants, and migrant workers. Therefore, the curriculum delivery must be inclusive yet rigorous enough to prepare students for Sijil Pelajaran Malaysia (SPM) examinations or international curricula.</w:t>
      </w:r>
    </w:p>
    <w:bookmarkEnd w:id="22"/>
    <w:bookmarkStart w:id="23" w:name="case-subject-profile"/>
    <w:p>
      <w:pPr>
        <w:pStyle w:val="Heading2"/>
      </w:pPr>
      <w:r>
        <w:t xml:space="preserve">3.0 Case Subject Profile</w:t>
      </w:r>
    </w:p>
    <w:p>
      <w:pPr>
        <w:pStyle w:val="FirstParagraph"/>
      </w:pPr>
      <w:r>
        <w:t xml:space="preserve">To ground this study in reality, we examine the case of "Mr. Amin," a fictionalized composite based on actual interviews with educators in</w:t>
      </w:r>
    </w:p>
    <w:p>
      <w:pPr>
        <w:pStyle w:val="BodyText"/>
      </w:pPr>
      <w:r>
        <w:rPr>
          <w:bCs/>
          <w:b/>
        </w:rPr>
        <w:t xml:space="preserve">Kuala Lumpur</w:t>
      </w:r>
      <w:r>
        <w:t xml:space="preserve">. Mr. Amin is a 34-year-old secondary school teacher specializing in Science, teaching Form 4 and Form 5 students (ages 16–17).</w:t>
      </w:r>
    </w:p>
    <w:p>
      <w:pPr>
        <w:pStyle w:val="BodyText"/>
      </w:pPr>
      <w:r>
        <w:t xml:space="preserve">He works at a government-integrated school (Sekolah Jenis Kebangsaan atau Sekolah Menengah) located in the central business district. His daily routine involves teaching fifteen classes per week, managing co-curricular activities, and participating in weekly pedagogical workshops mandated by the</w:t>
      </w:r>
    </w:p>
    <w:p>
      <w:pPr>
        <w:pStyle w:val="BodyText"/>
      </w:pPr>
      <w:r>
        <w:rPr>
          <w:bCs/>
          <w:b/>
        </w:rPr>
        <w:t xml:space="preserve">Kuala Lumpur</w:t>
      </w:r>
      <w:r>
        <w:t xml:space="preserve"> </w:t>
      </w:r>
      <w:r>
        <w:t xml:space="preserve">State Education Department.</w:t>
      </w:r>
    </w:p>
    <w:bookmarkEnd w:id="23"/>
    <w:bookmarkStart w:id="27" w:name="X3765ba8723c89524e6c15feb70937e5ba92e02f"/>
    <w:p>
      <w:pPr>
        <w:pStyle w:val="Heading2"/>
      </w:pPr>
      <w:r>
        <w:t xml:space="preserve">4.0 Key Challenges Faced by the Secondary Teacher</w:t>
      </w:r>
    </w:p>
    <w:p>
      <w:pPr>
        <w:pStyle w:val="FirstParagraph"/>
      </w:pPr>
      <w:r>
        <w:t xml:space="preserve">The analysis of Mr. Amin’s case reveals several critical challenges specific to this context:</w:t>
      </w:r>
    </w:p>
    <w:bookmarkStart w:id="24" w:name="the-pressure-of-standardized-assessments"/>
    <w:p>
      <w:pPr>
        <w:pStyle w:val="Heading3"/>
      </w:pPr>
      <w:r>
        <w:t xml:space="preserve">4.1 The Pressure of Standardized Assessments</w:t>
      </w:r>
    </w:p>
    <w:p>
      <w:pPr>
        <w:pStyle w:val="FirstParagraph"/>
      </w:pPr>
      <w:r>
        <w:br/>
      </w:r>
      <w:r>
        <w:br/>
      </w:r>
    </w:p>
    <w:p>
      <w:pPr>
        <w:pStyle w:val="BodyText"/>
      </w:pPr>
      <w:r>
        <w:t xml:space="preserve">In</w:t>
      </w:r>
    </w:p>
    <w:p>
      <w:pPr>
        <w:pStyle w:val="BodyText"/>
      </w:pPr>
      <w:r>
        <w:rPr>
          <w:bCs/>
          <w:b/>
        </w:rPr>
        <w:t xml:space="preserve">Kuala Lumpur</w:t>
      </w:r>
      <w:r>
        <w:t xml:space="preserve">, there is intense competition among students aiming for top-tier pre-university programs or international universities. Consequently, the</w:t>
      </w:r>
    </w:p>
    <w:p>
      <w:pPr>
        <w:pStyle w:val="BodyText"/>
      </w:pPr>
      <w:r>
        <w:rPr>
          <w:bCs/>
          <w:b/>
        </w:rPr>
        <w:t xml:space="preserve">Secondary Teacher</w:t>
      </w:r>
      <w:r>
        <w:t xml:space="preserve"> </w:t>
      </w:r>
      <w:r>
        <w:t xml:space="preserve">faces immense pressure to produce high academic results. This often leads to a "teaching to the test" mentality, which can stifle creativity and critical thinking—skills that are crucial for future employability.</w:t>
      </w:r>
    </w:p>
    <w:bookmarkEnd w:id="24"/>
    <w:bookmarkStart w:id="25" w:name="X9db6767e44861e535456bae73a2cca76baa9297"/>
    <w:p>
      <w:pPr>
        <w:pStyle w:val="Heading3"/>
      </w:pPr>
      <w:r>
        <w:t xml:space="preserve">4.2 Digital Integration and Technological Disparity</w:t>
      </w:r>
    </w:p>
    <w:p>
      <w:pPr>
        <w:pStyle w:val="FirstParagraph"/>
      </w:pPr>
      <w:r>
        <w:br/>
      </w:r>
      <w:r>
        <w:br/>
      </w:r>
    </w:p>
    <w:p>
      <w:pPr>
        <w:pStyle w:val="BodyText"/>
      </w:pPr>
      <w:r>
        <w:t xml:space="preserve">While</w:t>
      </w:r>
      <w:r>
        <w:t xml:space="preserve"> </w:t>
      </w:r>
      <w:r>
        <w:rPr>
          <w:bCs/>
          <w:b/>
          <w:iCs/>
          <w:i/>
        </w:rPr>
        <w:t xml:space="preserve">Kuala Lumpur</w:t>
      </w:r>
    </w:p>
    <w:bookmarkEnd w:id="25"/>
    <w:bookmarkStart w:id="26" w:name="X824d12a154a59ec16ac37330c9af6df9c71b673"/>
    <w:p>
      <w:pPr>
        <w:pStyle w:val="Heading3"/>
      </w:pPr>
      <w:r>
        <w:t xml:space="preserve">4.3 Managing Behavioral and Mental Health Issues</w:t>
      </w:r>
    </w:p>
    <w:p>
      <w:pPr>
        <w:pStyle w:val="FirstParagraph"/>
      </w:pPr>
      <w:r>
        <w:br/>
      </w:r>
      <w:r>
        <w:br/>
      </w:r>
    </w:p>
    <w:p>
      <w:pPr>
        <w:pStyle w:val="BodyText"/>
      </w:pPr>
      <w:r>
        <w:t xml:space="preserve">A significant portion of the caseload for teachers in</w:t>
      </w:r>
    </w:p>
    <w:p>
      <w:pPr>
        <w:pStyle w:val="BodyText"/>
      </w:pPr>
      <w:r>
        <w:rPr>
          <w:bCs/>
          <w:b/>
        </w:rPr>
        <w:t xml:space="preserve">Kuala LumpurSecondary Teacher</w:t>
      </w:r>
      <w:r>
        <w:t xml:space="preserve"> </w:t>
      </w:r>
      <w:r>
        <w:t xml:space="preserve">is often expected to perform duties outside their job description, acting as a first-line responder to student mental health crises due to the shortage of school counselors relative to the student population.</w:t>
      </w:r>
    </w:p>
    <w:bookmarkEnd w:id="26"/>
    <w:bookmarkEnd w:id="27"/>
    <w:bookmarkStart w:id="28" w:name="pedagogical-adaptation-strategies"/>
    <w:p>
      <w:pPr>
        <w:pStyle w:val="Heading2"/>
      </w:pPr>
      <w:r>
        <w:t xml:space="preserve">5.0 Pedagogical Adaptation Strategies</w:t>
      </w:r>
    </w:p>
    <w:p>
      <w:pPr>
        <w:pStyle w:val="FirstParagraph"/>
      </w:pPr>
      <w:r>
        <w:br/>
      </w:r>
      <w:r>
        <w:br/>
      </w:r>
    </w:p>
    <w:p>
      <w:pPr>
        <w:pStyle w:val="BodyText"/>
      </w:pPr>
      <w:r>
        <w:t xml:space="preserve">To overcome these challenges, successful</w:t>
      </w:r>
    </w:p>
    <w:p>
      <w:pPr>
        <w:pStyle w:val="BodyText"/>
      </w:pPr>
      <w:r>
        <w:rPr>
          <w:bCs/>
          <w:b/>
        </w:rPr>
        <w:t xml:space="preserve">Secondary Teacher</w:t>
      </w:r>
      <w:r>
        <w:t xml:space="preserve">s in</w:t>
      </w:r>
    </w:p>
    <w:p>
      <w:pPr>
        <w:pStyle w:val="BodyText"/>
      </w:pPr>
      <w:r>
        <w:rPr>
          <w:bCs/>
          <w:b/>
        </w:rPr>
        <w:t xml:space="preserve">Kuala Lumpur</w:t>
      </w:r>
      <w:r>
        <w:t xml:space="preserve">s are adopting new strategies. These include:</w:t>
      </w:r>
    </w:p>
    <w:p>
      <w:pPr>
        <w:numPr>
          <w:ilvl w:val="0"/>
          <w:numId w:val="1001"/>
        </w:numPr>
        <w:pStyle w:val="Compact"/>
      </w:pPr>
      <w:r>
        <w:t xml:space="preserve">Inquiry-Based Learning (IBL): Shifting from rote memorization to problem-solving activities that engage students intellectually.</w:t>
      </w:r>
    </w:p>
    <w:p>
      <w:pPr>
        <w:numPr>
          <w:ilvl w:val="0"/>
          <w:numId w:val="1001"/>
        </w:numPr>
        <w:pStyle w:val="Compact"/>
      </w:pPr>
      <w:r>
        <w:rPr>
          <w:bCs/>
          <w:b/>
        </w:rPr>
        <w:t xml:space="preserve">Multicultural Sensitivity Training:</w:t>
      </w:r>
      <w:r>
        <w:t xml:space="preserve"> </w:t>
      </w:r>
      <w:r>
        <w:t xml:space="preserve">Ensuring content is relevant and respectful of the diverse ethnic groups in</w:t>
      </w:r>
    </w:p>
    <w:p>
      <w:pPr>
        <w:numPr>
          <w:ilvl w:val="0"/>
          <w:numId w:val="1000"/>
        </w:numPr>
        <w:pStyle w:val="Compact"/>
      </w:pPr>
      <w:r>
        <w:rPr>
          <w:bCs/>
          <w:b/>
        </w:rPr>
        <w:t xml:space="preserve">Kuala Lumpur</w:t>
      </w:r>
      <w:r>
        <w:t xml:space="preserve">, fostering national unity through education.</w:t>
      </w:r>
    </w:p>
    <w:p>
      <w:pPr>
        <w:numPr>
          <w:ilvl w:val="0"/>
          <w:numId w:val="1001"/>
        </w:numPr>
        <w:pStyle w:val="Compact"/>
      </w:pPr>
      <w:r>
        <w:t xml:space="preserve">Tech-Enhanced Assessment:</w:t>
      </w:r>
    </w:p>
    <w:p>
      <w:pPr>
        <w:numPr>
          <w:ilvl w:val="0"/>
          <w:numId w:val="1000"/>
        </w:numPr>
        <w:pStyle w:val="Compact"/>
      </w:pPr>
      <w:r>
        <w:br/>
      </w:r>
      <w:r>
        <w:t xml:space="preserve">Using data analytics to track student progress in real-time, allowing for targeted interventions rather than waiting for end-of-year results.</w:t>
      </w:r>
    </w:p>
    <w:bookmarkEnd w:id="28"/>
    <w:bookmarkStart w:id="29" w:name="X65e612392215c74fda028c39f0aec238ff37297"/>
    <w:p>
      <w:pPr>
        <w:pStyle w:val="Heading2"/>
      </w:pPr>
      <w:r>
        <w:t xml:space="preserve">6.0 Socio-Cultural Impact on Teaching Practice</w:t>
      </w:r>
    </w:p>
    <w:p>
      <w:pPr>
        <w:pStyle w:val="FirstParagraph"/>
      </w:pPr>
      <w:r>
        <w:br/>
      </w:r>
      <w:r>
        <w:br/>
      </w:r>
    </w:p>
    <w:p>
      <w:pPr>
        <w:pStyle w:val="BodyText"/>
      </w:pPr>
      <w:r>
        <w:t xml:space="preserve">The cultural fabric of</w:t>
      </w:r>
    </w:p>
    <w:p>
      <w:pPr>
        <w:pStyle w:val="BodyText"/>
      </w:pPr>
      <w:r>
        <w:rPr>
          <w:bCs/>
          <w:b/>
        </w:rPr>
        <w:t xml:space="preserve">Kuala Lumpur</w:t>
      </w:r>
      <w:r>
        <w:t xml:space="preserve">s significantly influences teaching practices. Teachers must navigate the concept of "face" (maruah) and respect for authority, which can make students hesitant to ask questions in class. The</w:t>
      </w:r>
    </w:p>
    <w:p>
      <w:pPr>
        <w:pStyle w:val="BodyText"/>
      </w:pPr>
      <w:r>
        <w:rPr>
          <w:bCs/>
          <w:b/>
        </w:rPr>
        <w:t xml:space="preserve">Secondary Teacher</w:t>
      </w:r>
      <w:r>
        <w:t xml:space="preserve">s must create a safe psychological environment where questioning is encouraged without fear of embarrassment.</w:t>
      </w:r>
    </w:p>
    <w:p>
      <w:pPr>
        <w:pStyle w:val="BodyText"/>
      </w:pPr>
      <w:r>
        <w:t xml:space="preserve">Furthermore, the influence of extracurricular activities—such as Scouts (Pandu Puteri), cadets, and clubs—is vital in</w:t>
      </w:r>
    </w:p>
    <w:p>
      <w:pPr>
        <w:pStyle w:val="BodyText"/>
      </w:pPr>
      <w:r>
        <w:rPr>
          <w:bCs/>
          <w:b/>
        </w:rPr>
        <w:t xml:space="preserve">Kuala Lumpur</w:t>
      </w:r>
      <w:r>
        <w:t xml:space="preserve">s holistic education framework. Teachers are expected to mentor students in these areas, recognizing that character building is as important as academic achievement.</w:t>
      </w:r>
    </w:p>
    <w:bookmarkEnd w:id="29"/>
    <w:bookmarkStart w:id="30" w:name="recommendations-for-stakeholders"/>
    <w:p>
      <w:pPr>
        <w:pStyle w:val="Heading2"/>
      </w:pPr>
      <w:r>
        <w:t xml:space="preserve">7.0 Recommendations for Stakeholders</w:t>
      </w:r>
    </w:p>
    <w:p>
      <w:pPr>
        <w:pStyle w:val="FirstParagraph"/>
      </w:pPr>
      <w:r>
        <w:br/>
      </w:r>
      <w:r>
        <w:br/>
      </w:r>
    </w:p>
    <w:p>
      <w:pPr>
        <w:pStyle w:val="BodyText"/>
      </w:pPr>
      <w:r>
        <w:t xml:space="preserve">Based on the case study of the</w:t>
      </w:r>
    </w:p>
    <w:p>
      <w:pPr>
        <w:pStyle w:val="BodyText"/>
      </w:pPr>
      <w:r>
        <w:rPr>
          <w:bCs/>
          <w:b/>
        </w:rPr>
        <w:t xml:space="preserve">Secondary Teacher</w:t>
      </w:r>
      <w:r>
        <w:t xml:space="preserve">s experience in</w:t>
      </w:r>
    </w:p>
    <w:p>
      <w:pPr>
        <w:pStyle w:val="BodyText"/>
      </w:pPr>
      <w:r>
        <w:rPr>
          <w:bCs/>
          <w:b/>
        </w:rPr>
        <w:t xml:space="preserve">Kuala Lumpur</w:t>
      </w:r>
      <w:r>
        <w:t xml:space="preserve">, the following recommendations are proposed:</w:t>
      </w:r>
    </w:p>
    <w:p>
      <w:pPr>
        <w:numPr>
          <w:ilvl w:val="0"/>
          <w:numId w:val="1002"/>
        </w:numPr>
        <w:pStyle w:val="Compact"/>
      </w:pPr>
      <w:r>
        <w:rPr>
          <w:bCs/>
          <w:b/>
        </w:rPr>
        <w:t xml:space="preserve">Enhanced Mental Health Support:</w:t>
      </w:r>
      <w:r>
        <w:t xml:space="preserve">The state education department should increase the ratio of counselors to students, allowing teachers to focus more on pedagogy and less on crisis management.</w:t>
      </w:r>
    </w:p>
    <w:p>
      <w:pPr>
        <w:numPr>
          <w:ilvl w:val="0"/>
          <w:numId w:val="1002"/>
        </w:numPr>
        <w:pStyle w:val="Compact"/>
      </w:pPr>
      <w:r>
        <w:t xml:space="preserve">Continuous Professional Development (CPD):</w:t>
      </w:r>
    </w:p>
    <w:p>
      <w:pPr>
        <w:numPr>
          <w:ilvl w:val="0"/>
          <w:numId w:val="1000"/>
        </w:numPr>
        <w:pStyle w:val="Compact"/>
      </w:pPr>
      <w:r>
        <w:br/>
      </w:r>
      <w:r>
        <w:t xml:space="preserve">Tailored training programs for urban schools that address specific challenges like digital distraction and cyberbullying.</w:t>
      </w:r>
    </w:p>
    <w:p>
      <w:pPr>
        <w:numPr>
          <w:ilvl w:val="0"/>
          <w:numId w:val="1002"/>
        </w:numPr>
        <w:pStyle w:val="Compact"/>
      </w:pPr>
      <w:r>
        <w:rPr>
          <w:bCs/>
          <w:b/>
        </w:rPr>
        <w:t xml:space="preserve">Balanced Performance Metrics:</w:t>
      </w:r>
      <w:r>
        <w:t xml:space="preserve">Evaluating teachers not just on SPM pass rates, but also on student well-being, innovation in teaching methods, and community engagement.</w:t>
      </w:r>
    </w:p>
    <w:bookmarkEnd w:id="30"/>
    <w:bookmarkStart w:id="31" w:name="conclusion"/>
    <w:p>
      <w:pPr>
        <w:pStyle w:val="Heading2"/>
      </w:pPr>
      <w:r>
        <w:t xml:space="preserve">8.0 Conclusion</w:t>
      </w:r>
    </w:p>
    <w:p>
      <w:pPr>
        <w:pStyle w:val="FirstParagraph"/>
      </w:pPr>
      <w:r>
        <w:br/>
      </w:r>
      <w:r>
        <w:br/>
      </w:r>
    </w:p>
    <w:p>
      <w:pPr>
        <w:pStyle w:val="BodyText"/>
      </w:pPr>
      <w:r>
        <w:t xml:space="preserve">This case study underscores the multifaceted nature of being a</w:t>
      </w:r>
    </w:p>
    <w:p>
      <w:pPr>
        <w:pStyle w:val="BodyText"/>
      </w:pPr>
      <w:r>
        <w:rPr>
          <w:bCs/>
          <w:b/>
        </w:rPr>
        <w:t xml:space="preserve">Secondary Teacher</w:t>
      </w:r>
      <w:r>
        <w:t xml:space="preserve">s in</w:t>
      </w:r>
      <w:r>
        <w:t xml:space="preserve"> </w:t>
      </w:r>
      <w:r>
        <w:rPr>
          <w:iCs/>
          <w:i/>
        </w:rPr>
        <w:t xml:space="preserve">Kuala Lumpur Malaysia.</w:t>
      </w:r>
      <w:r>
        <w:t xml:space="preserve">The role has evolved from simple knowledge transmission to that of a complex facilitator, mentor, and technology integrator. While</w:t>
      </w:r>
      <w:r>
        <w:t xml:space="preserve"> </w:t>
      </w:r>
      <w:r>
        <w:rPr>
          <w:iCs/>
          <w:i/>
        </w:rPr>
        <w:t xml:space="preserve">Kuala Lumpur</w:t>
      </w:r>
      <w:r>
        <w:t xml:space="preserve">s urban setting provides resources and opportunities, it also imposes significant psychological and professional burdens on educators.</w:t>
      </w:r>
    </w:p>
    <w:p>
      <w:pPr>
        <w:pStyle w:val="BodyText"/>
      </w:pPr>
      <w:r>
        <w:t xml:space="preserve">To ensure the sustainability of quality education in this region, it is imperative that policymakers recognize these unique challenges. By supporting teachers with better resources, mental health safeguards, and relevant training,</w:t>
      </w:r>
      <w:r>
        <w:t xml:space="preserve"> </w:t>
      </w:r>
      <w:r>
        <w:rPr>
          <w:iCs/>
          <w:i/>
        </w:rPr>
        <w:t xml:space="preserve">Kuala Lumpur</w:t>
      </w:r>
      <w:r>
        <w:t xml:space="preserve">s schools can continue to produce globally competitive graduates who are also emotionally resilient citizens.</w:t>
      </w:r>
    </w:p>
    <w:p>
      <w:pPr>
        <w:pStyle w:val="BodyText"/>
      </w:pPr>
      <w:r>
        <w:t xml:space="preserve">The future of</w:t>
      </w:r>
    </w:p>
    <w:p>
      <w:pPr>
        <w:pStyle w:val="BodyText"/>
      </w:pPr>
      <w:r>
        <w:rPr>
          <w:bCs/>
          <w:b/>
        </w:rPr>
        <w:t xml:space="preserve">Kuala Lumpur Malaysia</w:t>
      </w:r>
      <w:r>
        <w:t xml:space="preserve">s educational excellence relies heavily on empowering its</w:t>
      </w:r>
    </w:p>
    <w:p>
      <w:pPr>
        <w:pStyle w:val="BodyText"/>
      </w:pPr>
      <w:r>
        <w:rPr>
          <w:bCs/>
          <w:b/>
        </w:rPr>
        <w:t xml:space="preserve">Secondary Teacher</w:t>
      </w:r>
      <w:r>
        <w:t xml:space="preserve">. Only by understanding and addressing their specific contextual needs can the nation achieve its vision of a knowledge-based economy driven by educated, empowered youth.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Profile in Malaysia Kuala Lumpur</dc:title>
  <dc:creator/>
  <dc:language>en</dc:language>
  <cp:keywords/>
  <dcterms:created xsi:type="dcterms:W3CDTF">2026-07-29T15:27:00Z</dcterms:created>
  <dcterms:modified xsi:type="dcterms:W3CDTF">2026-07-29T15:27:00Z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