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Transformation</w:t>
      </w:r>
      <w:r>
        <w:t xml:space="preserve"> </w:t>
      </w:r>
      <w:r>
        <w:t xml:space="preserve">in</w:t>
      </w:r>
      <w:r>
        <w:t xml:space="preserve"> </w:t>
      </w:r>
      <w:r>
        <w:t xml:space="preserve">Mexico</w:t>
      </w:r>
      <w:r>
        <w:t xml:space="preserve"> </w:t>
      </w:r>
      <w:r>
        <w:t xml:space="preserve">City</w:t>
      </w:r>
    </w:p>
    <w:bookmarkStart w:id="27" w:name="bridging-the-gap-in-urban-education"/>
    <w:p>
      <w:pPr>
        <w:pStyle w:val="Heading1"/>
      </w:pPr>
      <w:r>
        <w:t xml:space="preserve">Bridging the Gap in Urban Education</w:t>
      </w:r>
    </w:p>
    <w:p>
      <w:pPr>
        <w:pStyle w:val="FirstParagraph"/>
      </w:pPr>
      <w:r>
        <w:rPr>
          <w:bCs/>
          <w:b/>
        </w:rPr>
        <w:t xml:space="preserve">A Case Study on the Secondary Teacher Transition and Pedagogical Adaptation in Mexico City</w:t>
      </w:r>
    </w:p>
    <w:p>
      <w:pPr>
        <w:pStyle w:val="BodyText"/>
      </w:pPr>
      <w:r>
        <w:rPr>
          <w:bCs/>
          <w:b/>
        </w:rPr>
        <w:t xml:space="preserve">Date:</w:t>
      </w:r>
      <w:r>
        <w:t xml:space="preserve"> </w:t>
      </w:r>
      <w:r>
        <w:t xml:space="preserve">October 2023</w:t>
      </w:r>
      <w:r>
        <w:br/>
      </w:r>
      <w:r>
        <w:rPr>
          <w:bCs/>
          <w:b/>
        </w:rPr>
        <w:t xml:space="preserve">Location:</w:t>
      </w:r>
      <w:r>
        <w:t xml:space="preserve"> </w:t>
      </w:r>
      <w:r>
        <w:t xml:space="preserve">Mexico City, Mexico</w:t>
      </w:r>
      <w:r>
        <w:br/>
      </w:r>
    </w:p>
    <w:p>
      <w:pPr>
        <w:pStyle w:val="BodyText"/>
      </w:pPr>
      <w:r>
        <w:t xml:space="preserve">Status:</w:t>
      </w:r>
      <w:r>
        <w:rPr>
          <w:iCs/>
          <w:i/>
        </w:rPr>
        <w:t xml:space="preserve">Anonymized Case Study for Educational Research</w:t>
      </w:r>
      <w:r>
        <w:t xml:space="preserve">The rapid urbanization and demographic shifts in Mexico City present unique challenges for the secondary education sector. This case study explores the critical transition period of a Secondary Teacher adapting to these complex dynamics.</w:t>
      </w:r>
    </w:p>
    <w:bookmarkStart w:id="20" w:name="executive-summary"/>
    <w:p>
      <w:pPr>
        <w:pStyle w:val="Heading2"/>
      </w:pPr>
      <w:r>
        <w:t xml:space="preserve">Executive Summary</w:t>
      </w:r>
    </w:p>
    <w:p>
      <w:pPr>
        <w:pStyle w:val="FirstParagraph"/>
      </w:pPr>
      <w:r>
        <w:t xml:space="preserve">The public secondary school system in</w:t>
      </w:r>
      <w:r>
        <w:t xml:space="preserve"> </w:t>
      </w:r>
      <w:r>
        <w:rPr>
          <w:bCs/>
          <w:b/>
        </w:rPr>
        <w:t xml:space="preserve">Mexico City</w:t>
      </w:r>
      <w:r>
        <w:t xml:space="preserve"> </w:t>
      </w:r>
      <w:r>
        <w:t xml:space="preserve">is currently undergoing a profound structural and pedagogical transformation. As one of the most densely populated metropolitan areas in the world, it faces significant disparities in educational resources and student needs. This case study focuses on the role of the Secondary Teacher as a pivotal agent of change. It examines how educators are navigating cultural shifts, integrating digital technology, and addressing socio-economic barriers within their classrooms.</w:t>
      </w:r>
    </w:p>
    <w:bookmarkEnd w:id="20"/>
    <w:bookmarkStart w:id="21" w:name="X93e0c9066d9822f0ccbb8219c340f20f80a8afb"/>
    <w:p>
      <w:pPr>
        <w:pStyle w:val="Heading2"/>
      </w:pPr>
      <w:r>
        <w:t xml:space="preserve">Contextual Background: The Landscape of Mexico City</w:t>
      </w:r>
    </w:p>
    <w:p>
      <w:pPr>
        <w:pStyle w:val="FirstParagraph"/>
      </w:pPr>
      <w:r>
        <w:rPr>
          <w:bCs/>
          <w:b/>
        </w:rPr>
        <w:t xml:space="preserve">Mexico City</w:t>
      </w:r>
      <w:r>
        <w:t xml:space="preserve"> </w:t>
      </w:r>
      <w:r>
        <w:t xml:space="preserve">serves as the political, economic, and cultural heart of Mexico. However beneath its modern infrastructure lies a stark contrast between wealthy neighborhoods and marginalized communities on the periphery. The student body in</w:t>
      </w:r>
      <w:r>
        <w:t xml:space="preserve"> </w:t>
      </w:r>
      <w:r>
        <w:rPr>
          <w:bCs/>
          <w:b/>
        </w:rPr>
        <w:t xml:space="preserve">Mexico City</w:t>
      </w:r>
      <w:r>
        <w:t xml:space="preserve"> </w:t>
      </w:r>
      <w:r>
        <w:t xml:space="preserve">secondary schools is remarkably heterogeneous. Teachers encounter students ranging from highly privileged backgrounds to those facing severe poverty, migration challenges, and social instability.</w:t>
      </w:r>
    </w:p>
    <w:p>
      <w:pPr>
        <w:pStyle w:val="BodyText"/>
      </w:pPr>
      <w:r>
        <w:t xml:space="preserve">In this environment, the traditional model of instruction is no longer sufficient. The educational authorities have pushed for a more competency-based curriculum that emphasizes critical thinking and digital literacy. This shift places immense pressure on the Secondary Teacher to evolve from a mere transmitter of knowledge into a facilitator of learning who can connect academic content to the lived realities of students in</w:t>
      </w:r>
      <w:r>
        <w:t xml:space="preserve"> </w:t>
      </w:r>
      <w:r>
        <w:rPr>
          <w:bCs/>
          <w:b/>
        </w:rPr>
        <w:t xml:space="preserve">Mexico City</w:t>
      </w:r>
      <w:r>
        <w:t xml:space="preserve">.</w:t>
      </w:r>
    </w:p>
    <w:bookmarkEnd w:id="21"/>
    <w:bookmarkStart w:id="22" w:name="X8fb61411cb9065cbdf4dd8c25f4b502f59d8c48"/>
    <w:p>
      <w:pPr>
        <w:pStyle w:val="Heading2"/>
      </w:pPr>
      <w:r>
        <w:t xml:space="preserve">The Subject: The Secondary Teacher’s Evolution</w:t>
      </w:r>
    </w:p>
    <w:p>
      <w:pPr>
        <w:pStyle w:val="FirstParagraph"/>
      </w:pPr>
      <w:r>
        <w:t xml:space="preserve">The core focus of this study is the</w:t>
      </w:r>
      <w:r>
        <w:t xml:space="preserve"> </w:t>
      </w:r>
      <w:r>
        <w:rPr>
          <w:bCs/>
          <w:b/>
        </w:rPr>
        <w:t xml:space="preserve">Secondary Teacher</w:t>
      </w:r>
      <w:r>
        <w:t xml:space="preserve">. Historically, teacher training in Mexico focused heavily on subject matter mastery. However, the contemporary reality demands a broader skill set. For many teachers who entered the profession a decade ago, their initial training did not adequately prepare them for the digital-native generation now occupying classrooms in</w:t>
      </w:r>
      <w:r>
        <w:t xml:space="preserve"> </w:t>
      </w:r>
      <w:r>
        <w:rPr>
          <w:bCs/>
          <w:b/>
        </w:rPr>
        <w:t xml:space="preserve">Mexico City</w:t>
      </w:r>
      <w:r>
        <w:t xml:space="preserve">.</w:t>
      </w:r>
    </w:p>
    <w:p>
      <w:pPr>
        <w:pStyle w:val="BodyText"/>
      </w:pPr>
      <w:r>
        <w:t xml:space="preserve">The case study identifies three primary areas of adaptation required by the Secondary Teacher:</w:t>
      </w:r>
    </w:p>
    <w:p>
      <w:pPr>
        <w:numPr>
          <w:ilvl w:val="0"/>
          <w:numId w:val="1001"/>
        </w:numPr>
        <w:pStyle w:val="Compact"/>
      </w:pPr>
      <w:r>
        <w:rPr>
          <w:bCs/>
          <w:b/>
        </w:rPr>
        <w:t xml:space="preserve">Pedagogical Agility:</w:t>
      </w:r>
      <w:r>
        <w:t xml:space="preserve"> </w:t>
      </w:r>
      <w:r>
        <w:t xml:space="preserve">Moving away from rote memorization toward student-centered learning. This involves project-based learning and collaborative workshops that engage disinterested students.</w:t>
      </w:r>
    </w:p>
    <w:p>
      <w:pPr>
        <w:numPr>
          <w:ilvl w:val="0"/>
          <w:numId w:val="1001"/>
        </w:numPr>
        <w:pStyle w:val="Compact"/>
      </w:pPr>
      <w:r>
        <w:rPr>
          <w:iCs/>
          <w:i/>
        </w:rPr>
        <w:t xml:space="preserve">Socio-Emotional Support:</w:t>
      </w:r>
      <w:r>
        <w:t xml:space="preserve"> </w:t>
      </w:r>
      <w:r>
        <w:t xml:space="preserve">In a city with high rates of violence and social fragmentation, the Secondary Teacher often acts as a counselor or mentor. Recognizing signs of trauma or anxiety is now considered part of the core competency.</w:t>
      </w:r>
    </w:p>
    <w:p>
      <w:pPr>
        <w:numPr>
          <w:ilvl w:val="0"/>
          <w:numId w:val="1001"/>
        </w:numPr>
        <w:pStyle w:val="Compact"/>
      </w:pPr>
      <w:r>
        <w:rPr>
          <w:bCs/>
          <w:b/>
        </w:rPr>
        <w:t xml:space="preserve">Digital Integration:</w:t>
      </w:r>
      <w:r>
        <w:t xml:space="preserve"> </w:t>
      </w:r>
      <w:r>
        <w:t xml:space="preserve">The post-pandemic era has necessitated proficiency in hybrid teaching models. Teachers must effectively utilize learning management systems and digital resources to supplement physical instruction.</w:t>
      </w:r>
    </w:p>
    <w:bookmarkEnd w:id="22"/>
    <w:bookmarkStart w:id="23" w:name="the-challenge-implementation-barriers"/>
    <w:p>
      <w:pPr>
        <w:pStyle w:val="Heading2"/>
      </w:pPr>
      <w:r>
        <w:t xml:space="preserve">The Challenge: Implementation Barriers</w:t>
      </w:r>
    </w:p>
    <w:p>
      <w:pPr>
        <w:pStyle w:val="FirstParagraph"/>
      </w:pPr>
      <w:r>
        <w:t xml:space="preserve">Despite clear policy directives, the implementation of these changes is fraught with challenges specific to</w:t>
      </w:r>
      <w:r>
        <w:t xml:space="preserve"> </w:t>
      </w:r>
      <w:r>
        <w:rPr>
          <w:bCs/>
          <w:b/>
        </w:rPr>
        <w:t xml:space="preserve">Mexico City</w:t>
      </w:r>
      <w:r>
        <w:t xml:space="preserve">. Infrastructure inequality remains a significant hurdle. While some schools in central districts have high-speed internet and modern laboratories, many others in the southern boroughs lack basic connectivity.</w:t>
      </w:r>
    </w:p>
    <w:p>
      <w:pPr>
        <w:pStyle w:val="BodyText"/>
      </w:pPr>
      <w:r>
        <w:t xml:space="preserve">This digital divide forces the Secondary Teacher to become an innovator by necessity. They must often create low-tech or no-tech alternatives for lessons that were designed for high-speed environments. Furthermore, large class sizes in</w:t>
      </w:r>
      <w:r>
        <w:t xml:space="preserve"> </w:t>
      </w:r>
      <w:r>
        <w:rPr>
          <w:bCs/>
          <w:b/>
        </w:rPr>
        <w:t xml:space="preserve">Mexico City</w:t>
      </w:r>
      <w:r>
        <w:t xml:space="preserve">, often exceeding thirty students per teacher, make personalized attention difficult. The Secondary Teacher must develop classroom management techniques that are inclusive and efficient without sacrificing educational quality.</w:t>
      </w:r>
    </w:p>
    <w:bookmarkEnd w:id="23"/>
    <w:bookmarkStart w:id="24" w:name="X72029223312ed2a2fc8cb98d961c406967b81bd"/>
    <w:p>
      <w:pPr>
        <w:pStyle w:val="Heading2"/>
      </w:pPr>
      <w:r>
        <w:t xml:space="preserve">The Response: Professional Development and Community Engagement</w:t>
      </w:r>
    </w:p>
    <w:p>
      <w:pPr>
        <w:pStyle w:val="FirstParagraph"/>
      </w:pPr>
      <w:r>
        <w:t xml:space="preserve">To address these gaps, several initiatives have been launched targeting the Secondary Teacher in</w:t>
      </w:r>
      <w:r>
        <w:t xml:space="preserve"> </w:t>
      </w:r>
      <w:r>
        <w:rPr>
          <w:bCs/>
          <w:b/>
        </w:rPr>
        <w:t xml:space="preserve">Mexico City</w:t>
      </w:r>
      <w:r>
        <w:t xml:space="preserve">. These include peer-to-peer mentoring programs where experienced educators guide newer staff through digital tools. Additionally, community engagement is being redefined. Teachers are encouraged to partner with local organizations to provide resources such as nutrition support and extracurricular activities.</w:t>
      </w:r>
    </w:p>
    <w:p>
      <w:pPr>
        <w:pStyle w:val="BodyText"/>
      </w:pPr>
      <w:r>
        <w:t xml:space="preserve">The case study highlights a specific instance of a Secondary Teacher who successfully integrated local history into science classes. By connecting scientific concepts to the environmental challenges facing</w:t>
      </w:r>
      <w:r>
        <w:t xml:space="preserve"> </w:t>
      </w:r>
      <w:r>
        <w:rPr>
          <w:bCs/>
          <w:b/>
        </w:rPr>
        <w:t xml:space="preserve">Mexico City</w:t>
      </w:r>
      <w:r>
        <w:t xml:space="preserve">, such as water scarcity, the teacher made the curriculum relevant. This approach not only improved student engagement but also fostered a sense of civic responsibility among students.</w:t>
      </w:r>
    </w:p>
    <w:bookmarkEnd w:id="24"/>
    <w:bookmarkStart w:id="25" w:name="outcomes-and-observations"/>
    <w:p>
      <w:pPr>
        <w:pStyle w:val="Heading2"/>
      </w:pPr>
      <w:r>
        <w:t xml:space="preserve">Outcomes and Observations</w:t>
      </w:r>
    </w:p>
    <w:p>
      <w:pPr>
        <w:pStyle w:val="FirstParagraph"/>
      </w:pPr>
      <w:r>
        <w:t xml:space="preserve">The data collected from pilot programs involving these adapted teaching methods in</w:t>
      </w:r>
      <w:r>
        <w:t xml:space="preserve"> </w:t>
      </w:r>
      <w:r>
        <w:rPr>
          <w:bCs/>
          <w:b/>
        </w:rPr>
        <w:t xml:space="preserve">Mexico City</w:t>
      </w:r>
      <w:r>
        <w:t xml:space="preserve"> </w:t>
      </w:r>
      <w:r>
        <w:t xml:space="preserve">indicates promising results. Students demonstrate higher attendance rates and improved test scores when the Secondary Teacher utilizes contextualized learning. Moreover, teacher satisfaction levels have risen when they feel supported by ongoing professional development rather than being left to adapt alone.</w:t>
      </w:r>
    </w:p>
    <w:p>
      <w:pPr>
        <w:pStyle w:val="BodyText"/>
      </w:pPr>
      <w:r>
        <w:t xml:space="preserve">However, burnout remains a critical issue. The emotional labor required by the Secondary Teacher in such a volatile environment is immense. Sustainable change requires systemic support, including smaller class sizes and mental health resources for staff.</w:t>
      </w:r>
    </w:p>
    <w:bookmarkEnd w:id="25"/>
    <w:bookmarkStart w:id="26" w:name="conclusion"/>
    <w:p>
      <w:pPr>
        <w:pStyle w:val="Heading2"/>
      </w:pPr>
      <w:r>
        <w:t xml:space="preserve">Conclusion</w:t>
      </w:r>
    </w:p>
    <w:p>
      <w:pPr>
        <w:pStyle w:val="FirstParagraph"/>
      </w:pPr>
      <w:r>
        <w:t xml:space="preserve">The evolution of the Secondary Teacher in</w:t>
      </w:r>
      <w:r>
        <w:t xml:space="preserve"> </w:t>
      </w:r>
      <w:r>
        <w:rPr>
          <w:bCs/>
          <w:b/>
        </w:rPr>
        <w:t xml:space="preserve">Mexico City</w:t>
      </w:r>
      <w:r>
        <w:t xml:space="preserve"> </w:t>
      </w:r>
      <w:r>
        <w:t xml:space="preserve">is not merely a professional update but a survival mechanism within the educational ecosystem. The unique socio-economic tapestry of</w:t>
      </w:r>
      <w:r>
        <w:t xml:space="preserve"> </w:t>
      </w:r>
      <w:r>
        <w:rPr>
          <w:bCs/>
          <w:b/>
        </w:rPr>
        <w:t xml:space="preserve">Mexico City</w:t>
      </w:r>
      <w:r>
        <w:t xml:space="preserve"> </w:t>
      </w:r>
      <w:r>
        <w:t xml:space="preserve">demands educators who are resilient, adaptable, and deeply connected to their communities. As this case study illustrates, when Secondary Teachers are empowered with the right tools and training, they can transform potential challenges into opportunities for student growth.</w:t>
      </w:r>
    </w:p>
    <w:p>
      <w:pPr>
        <w:pStyle w:val="BodyText"/>
      </w:pPr>
      <w:r>
        <w:t xml:space="preserve">Future policy must continue to prioritize the holistic development of teachers in</w:t>
      </w:r>
      <w:r>
        <w:t xml:space="preserve"> </w:t>
      </w:r>
      <w:r>
        <w:rPr>
          <w:bCs/>
          <w:b/>
        </w:rPr>
        <w:t xml:space="preserve">Mexico City</w:t>
      </w:r>
      <w:r>
        <w:t xml:space="preserve">, recognizing that their success is directly linked to the future stability and prosperity of Mexico.</w:t>
      </w:r>
      <w:r>
        <w:rPr>
          <w:iCs/>
          <w:i/>
        </w:rPr>
        <w:t xml:space="preserve">This document serves as a foundational analysis for educational stakeholders interested in urban pedagogy and teacher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Transformation in Mexico City</dc:title>
  <dc:creator/>
  <dc:language>en</dc:language>
  <cp:keywords/>
  <dcterms:created xsi:type="dcterms:W3CDTF">2026-07-29T07:17:40Z</dcterms:created>
  <dcterms:modified xsi:type="dcterms:W3CDTF">2026-07-29T07:17:40Z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