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Netherlands</w:t>
      </w:r>
      <w:r>
        <w:t xml:space="preserve"> </w:t>
      </w:r>
      <w:r>
        <w:t xml:space="preserve">Amsterdam</w:t>
      </w:r>
    </w:p>
    <w:bookmarkStart w:id="31" w:name="case-study-analysis"/>
    <w:p>
      <w:pPr>
        <w:pStyle w:val="Heading1"/>
      </w:pPr>
      <w:r>
        <w:t xml:space="preserve">CASE STUDY ANALYSIS</w:t>
      </w:r>
    </w:p>
    <w:bookmarkStart w:id="20" w:name="Xd9cef1d5207db87a29c194946c1b16fff234dc3"/>
    <w:p>
      <w:pPr>
        <w:pStyle w:val="Heading3"/>
      </w:pPr>
      <w:r>
        <w:rPr>
          <w:bCs/>
          <w:b/>
        </w:rPr>
        <w:t xml:space="preserve">Title:</w:t>
      </w:r>
      <w:r>
        <w:t xml:space="preserve">The Pedagogical Landscape of Secondary Education in the Netherlands, Amsterdam Context</w:t>
      </w:r>
    </w:p>
    <w:p>
      <w:pPr>
        <w:pStyle w:val="FirstParagraph"/>
      </w:pPr>
      <w:r>
        <w:rPr>
          <w:bCs/>
          <w:b/>
        </w:rPr>
        <w:t xml:space="preserve">Date:</w:t>
      </w:r>
      <w:r>
        <w:t xml:space="preserve"> May 24, 2024</w:t>
      </w:r>
    </w:p>
    <w:p>
      <w:pPr>
        <w:pStyle w:val="BodyText"/>
      </w:pPr>
      <w:r>
        <w:rPr>
          <w:bCs/>
          <w:b/>
        </w:rPr>
        <w:t xml:space="preserve">Subject Focus:</w:t>
      </w:r>
      <w:r>
        <w:t xml:space="preserve"> Teacher Secondary Education Strategies in Netherlands Amsterdam</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presents a comprehensive Case Study regarding the role, challenges, and opportunities for a Teacher Secondary professional within the unique educational ecosystem of Netherlands Amsterdam. The purpose of this analysis is to explore how modern pedagogical practices intersect with the cultural and structural realities of Dutch secondary education. As Amsterdam continues to grow as an international hub, schools in this municipality face distinct demographic shifts that require adaptable teaching methods. This Case Study aims to provide stakeholders, school administrators, and prospective educators with a deep understanding of the specific nuances required for success when acting as a Teacher Secondary in the Netherlands Amsterdam region.</w:t>
      </w:r>
    </w:p>
    <w:bookmarkEnd w:id="21"/>
    <w:bookmarkStart w:id="22" w:name="introduction-and-contextual-background"/>
    <w:p>
      <w:pPr>
        <w:pStyle w:val="Heading2"/>
      </w:pPr>
      <w:r>
        <w:t xml:space="preserve">2. Introduction and Contextual Background</w:t>
      </w:r>
    </w:p>
    <w:p>
      <w:pPr>
        <w:pStyle w:val="FirstParagraph"/>
      </w:pPr>
      <w:r>
        <w:t xml:space="preserve">The educational framework in the Netherlands is renowned for its balance between academic rigor and holistic student development. However, implementing this framework requires a nuanced understanding of local expectations. When focusing on the specific context of Netherlands Amsterdam, one must acknowledge that it is one of the most diverse municipalities in Europe. The city center and surrounding boroughs present a mosaic of cultural backgrounds, socioeconomic statuses, and linguistic abilities.</w:t>
      </w:r>
    </w:p>
    <w:p>
      <w:pPr>
        <w:pStyle w:val="BodyText"/>
      </w:pPr>
      <w:r>
        <w:t xml:space="preserve">For a Teacher Secondary professional entering this environment, the standard Dutch secondary curriculum (which divides students into VMBO, HAVO, and VWO tracks) provides the structural skeleton. However, the fleshing out of this structure is heavily influenced by the multicultural reality of Netherlands Amsterdam. The Case Study highlights that effective teaching in this region is not merely about subject mastery but also about cultural competency and inclusive classroom management.</w:t>
      </w:r>
    </w:p>
    <w:bookmarkEnd w:id="22"/>
    <w:bookmarkStart w:id="23" w:name="methodology-and-scope"/>
    <w:p>
      <w:pPr>
        <w:pStyle w:val="Heading2"/>
      </w:pPr>
      <w:r>
        <w:t xml:space="preserve">3. Methodology and Scope</w:t>
      </w:r>
    </w:p>
    <w:p>
      <w:pPr>
        <w:pStyle w:val="FirstParagraph"/>
      </w:pPr>
      <w:r>
        <w:t xml:space="preserve">To develop a robust Case Study for Teacher Secondary roles in Netherlands Amsterdam, data was synthesized from recent pedagogical reports, municipal education council findings, and observational studies of secondary classrooms in key districts such as Westpoort and the Centrum area. The scope includes:</w:t>
      </w:r>
    </w:p>
    <w:p>
      <w:pPr>
        <w:numPr>
          <w:ilvl w:val="0"/>
          <w:numId w:val="1001"/>
        </w:numPr>
        <w:pStyle w:val="Compact"/>
      </w:pPr>
      <w:r>
        <w:t xml:space="preserve">An analysis of the bilingual and multicultural student body.</w:t>
      </w:r>
    </w:p>
    <w:p>
      <w:pPr>
        <w:numPr>
          <w:ilvl w:val="0"/>
          <w:numId w:val="1001"/>
        </w:numPr>
        <w:pStyle w:val="Compact"/>
      </w:pPr>
      <w:r>
        <w:t xml:space="preserve">Evaluation of the 'PBL' (Problem-Based Learning) method common in Dutch schools.</w:t>
      </w:r>
    </w:p>
    <w:p>
      <w:pPr>
        <w:numPr>
          <w:ilvl w:val="0"/>
          <w:numId w:val="1001"/>
        </w:numPr>
        <w:pStyle w:val="Compact"/>
      </w:pPr>
      <w:r>
        <w:t xml:space="preserve">Assessment of teacher-student dynamics specific to Amsterdam’s urban setting.</w:t>
      </w:r>
    </w:p>
    <w:bookmarkEnd w:id="23"/>
    <w:bookmarkStart w:id="27" w:name="Xbea0be9520ffa753d88a0a83c210e7a28c5c9cd"/>
    <w:p>
      <w:pPr>
        <w:pStyle w:val="Heading2"/>
      </w:pPr>
      <w:r>
        <w:t xml:space="preserve">4. Key Findings: The Role of Teacher Secondary</w:t>
      </w:r>
    </w:p>
    <w:bookmarkStart w:id="24" w:name="X446dc5bdbbc8f225f41b7518cfac857c5c13975"/>
    <w:p>
      <w:pPr>
        <w:pStyle w:val="Heading3"/>
      </w:pPr>
      <w:r>
        <w:rPr>
          <w:bCs/>
          <w:b/>
        </w:rPr>
        <w:t xml:space="preserve">A. Cultural Inclusivity as a Pedagogical Tool</w:t>
      </w:r>
    </w:p>
    <w:p>
      <w:pPr>
        <w:pStyle w:val="FirstParagraph"/>
      </w:pPr>
      <w:r>
        <w:t xml:space="preserve">In the Netherlands Amsterdam, students often come from diverse migratory backgrounds. A successful Case Study of teaching effectiveness reveals that teachers who integrate multicultural perspectives into their lesson plans see higher engagement rates. For a Teacher Secondary in this region, it is imperative to recognize that "standard" examples may not resonate with all students. Adapting materials to reflect the lived experiences of Amsterdam’s youth is not just a nice-to-have; it is a professional necessity.</w:t>
      </w:r>
    </w:p>
    <w:bookmarkEnd w:id="24"/>
    <w:bookmarkStart w:id="25" w:name="b.-navigating-the-hierarchy-and-autonomy"/>
    <w:p>
      <w:pPr>
        <w:pStyle w:val="Heading3"/>
      </w:pPr>
      <w:r>
        <w:rPr>
          <w:bCs/>
          <w:b/>
        </w:rPr>
        <w:t xml:space="preserve">B. Navigating the Hierarchy and Autonomy</w:t>
      </w:r>
    </w:p>
    <w:p>
      <w:pPr>
        <w:pStyle w:val="FirstParagraph"/>
      </w:pPr>
      <w:r>
        <w:t xml:space="preserve">Dutch secondary education places a high premium on student autonomy, reflecting the broader Dutch cultural value of equality. The teacher is often viewed as a facilitator rather than an authoritarian figure. In Amsterdam schools, this dynamic is intensified by students who are critically engaged with societal issues. A Teacher Secondary must be prepared to facilitate open dialogue and debate while maintaining classroom order. The Case Study indicates that rigid adherence to traditional lecture-based methods often fails in the Netherlands Amsterdam context, whereas Socratic seminars and group projects thrive.</w:t>
      </w:r>
    </w:p>
    <w:bookmarkEnd w:id="25"/>
    <w:bookmarkStart w:id="26" w:name="c.-linguistic-diversity-and-support"/>
    <w:p>
      <w:pPr>
        <w:pStyle w:val="Heading3"/>
      </w:pPr>
      <w:r>
        <w:rPr>
          <w:bCs/>
          <w:b/>
        </w:rPr>
        <w:t xml:space="preserve">C. Linguistic Diversity and Support</w:t>
      </w:r>
    </w:p>
    <w:p>
      <w:pPr>
        <w:pStyle w:val="FirstParagraph"/>
      </w:pPr>
      <w:r>
        <w:t xml:space="preserve">A significant portion of students in secondary schools across Netherlands Amsterdam speak a home language other than Dutch. While many are fluent, complex academic terminology in subjects like History or Physics can present barriers. The Case Study highlights the importance of 'language-sensitive teaching.' Teachers must explicitly teach the vocabulary required for their subject area, ensuring that language proficiency does not hinder intellectual growth. Support mechanisms such as buddy systems and visual aids are critical components of a Teacher Secondary’s toolkit in this specific geographic location.</w:t>
      </w:r>
    </w:p>
    <w:bookmarkEnd w:id="26"/>
    <w:bookmarkEnd w:id="27"/>
    <w:bookmarkStart w:id="28" w:name="challenges-identified"/>
    <w:p>
      <w:pPr>
        <w:pStyle w:val="Heading2"/>
      </w:pPr>
      <w:r>
        <w:t xml:space="preserve">5. Challenges Identified</w:t>
      </w:r>
    </w:p>
    <w:p>
      <w:pPr>
        <w:pStyle w:val="FirstParagraph"/>
      </w:pPr>
      <w:r>
        <w:t xml:space="preserve">The Case Study identifies several distinct challenges for educators in Netherlands Amsterdam:</w:t>
      </w:r>
    </w:p>
    <w:p>
      <w:pPr>
        <w:pStyle w:val="BodyText"/>
      </w:pPr>
      <w:r>
        <w:rPr>
          <w:iCs/>
          <w:i/>
          <w:bCs/>
          <w:b/>
        </w:rPr>
        <w:t xml:space="preserve">Socioeconomic Disparity:</w:t>
      </w:r>
      <w:r>
        <w:t xml:space="preserve"> Amsterdam has a stark contrast between affluent neighborhoods and areas with lower income levels. Teachers must navigate resource gaps, where some students lack stable home environments or access to digital tools required for modern homework assignments.</w:t>
      </w:r>
      <w:r>
        <w:br/>
      </w:r>
      <w:r>
        <w:br/>
      </w:r>
      <w:r>
        <w:rPr>
          <w:iCs/>
          <w:i/>
          <w:bCs/>
          <w:b/>
        </w:rPr>
        <w:t xml:space="preserve">Burnout and Retention:</w:t>
      </w:r>
      <w:r>
        <w:t xml:space="preserve"> The pressure on Teacher Secondary professionals to manage diverse behavioral needs alongside academic requirements contributes to high stress levels. The Case Study notes that schools with strong mentorship programs for new teachers see better retention rates in the Netherlands Amsterdam region.</w:t>
      </w:r>
      <w:r>
        <w:br/>
      </w:r>
      <w:r>
        <w:br/>
      </w:r>
      <w:r>
        <w:rPr>
          <w:iCs/>
          <w:i/>
          <w:bCs/>
          <w:b/>
        </w:rPr>
        <w:t xml:space="preserve">Integration of Newcomers:</w:t>
      </w:r>
      <w:r>
        <w:t xml:space="preserve"> Frequent turnover due to migration patterns means teachers often have to integrate students mid-term who may be years behind in specific curriculum areas. This requires a flexible approach to lesson planning that the Case Study deems essential for long-term success.</w:t>
      </w:r>
    </w:p>
    <w:bookmarkEnd w:id="28"/>
    <w:bookmarkStart w:id="29" w:name="strategic-recommendations"/>
    <w:p>
      <w:pPr>
        <w:pStyle w:val="Heading2"/>
      </w:pPr>
      <w:r>
        <w:t xml:space="preserve">6. Strategic Recommendations</w:t>
      </w:r>
    </w:p>
    <w:p>
      <w:pPr>
        <w:pStyle w:val="FirstParagraph"/>
      </w:pPr>
      <w:r>
        <w:t xml:space="preserve">Based on the findings of this Case Study, several recommendations are made for stakeholders involved in Secondary Education in Netherlands Amsterdam:</w:t>
      </w:r>
    </w:p>
    <w:p>
      <w:pPr>
        <w:numPr>
          <w:ilvl w:val="0"/>
          <w:numId w:val="1002"/>
        </w:numPr>
        <w:pStyle w:val="Compact"/>
      </w:pPr>
      <w:r>
        <w:rPr>
          <w:bCs/>
          <w:b/>
        </w:rPr>
        <w:t xml:space="preserve">Prioritize Cultural Competence Training:</w:t>
      </w:r>
      <w:r>
        <w:t xml:space="preserve"> Schools should invest in professional development that helps Teacher Secondary educators understand the diverse cultural backgrounds of their students. This goes beyond language; it involves understanding social norms and family dynamics prevalent in Amsterdam.</w:t>
      </w:r>
    </w:p>
    <w:p>
      <w:pPr>
        <w:numPr>
          <w:ilvl w:val="0"/>
          <w:numId w:val="1002"/>
        </w:numPr>
        <w:pStyle w:val="Compact"/>
      </w:pPr>
      <w:r>
        <w:rPr>
          <w:bCs/>
          <w:b/>
        </w:rPr>
        <w:t xml:space="preserve">Implement Differentiated Instruction:</w:t>
      </w:r>
      <w:r>
        <w:t xml:space="preserve"> Given the wide variance in academic preparedness, teachers must employ differentiated instruction techniques. The Case Study suggests that small-group rotations within a classroom setting are particularly effective for mixed-ability classes common in Netherlands Amsterdam schools.</w:t>
      </w:r>
    </w:p>
    <w:p>
      <w:pPr>
        <w:numPr>
          <w:ilvl w:val="0"/>
          <w:numId w:val="1002"/>
        </w:numPr>
        <w:pStyle w:val="Compact"/>
      </w:pPr>
      <w:r>
        <w:rPr>
          <w:bCs/>
          <w:b/>
        </w:rPr>
        <w:t xml:space="preserve">Foster Community Partnerships:</w:t>
      </w:r>
      <w:r>
        <w:t xml:space="preserve"> To address socioeconomic challenges, schools should partner with local community organizations. These partnerships can provide additional resources, mentorship, and after-school support that alleviate the burden on the Teacher Secondary professional.</w:t>
      </w:r>
    </w:p>
    <w:p>
      <w:pPr>
        <w:numPr>
          <w:ilvl w:val="0"/>
          <w:numId w:val="1002"/>
        </w:numPr>
        <w:pStyle w:val="Compact"/>
      </w:pPr>
      <w:r>
        <w:rPr>
          <w:bCs/>
          <w:b/>
        </w:rPr>
        <w:t xml:space="preserve">Leverage Technology for Personalization:</w:t>
      </w:r>
      <w:r>
        <w:t xml:space="preserve"> Utilizing adaptive learning software can help teachers manage large class sizes by providing personalized feedback to students who need extra support in mastering Dutch language skills or subject-specific content.</w:t>
      </w:r>
    </w:p>
    <w:bookmarkEnd w:id="29"/>
    <w:bookmarkStart w:id="30" w:name="conclusion"/>
    <w:p>
      <w:pPr>
        <w:pStyle w:val="Heading2"/>
      </w:pPr>
      <w:r>
        <w:t xml:space="preserve">7. Conclusion</w:t>
      </w:r>
    </w:p>
    <w:p>
      <w:pPr>
        <w:pStyle w:val="FirstParagraph"/>
      </w:pPr>
      <w:r>
        <w:t xml:space="preserve">The Case Study of Teacher Secondary education in Netherlands Amsterdam reveals a complex but rewarding professional environment. The intersection of high educational standards with a diverse, multicultural population creates unique demands on educators. Success in this role requires more than subject knowledge; it demands empathy, adaptability, and cultural intelligence.</w:t>
      </w:r>
    </w:p>
    <w:p>
      <w:pPr>
        <w:pStyle w:val="BodyText"/>
      </w:pPr>
      <w:r>
        <w:t xml:space="preserve">As the municipality continues to evolve, the demand for skilled Teacher Secondary professionals who can navigate these nuances will only increase. By implementing the strategies outlined in this analysis—specifically focusing on inclusive practices and community integration—the educational system in Netherlands Amsterdam can ensure that all students, regardless of their background, have access to high-quality secondary education. This Case Study serves as a blueprint for understanding that effective teaching in Amsterdam is inherently a practice of inclusion and adaptation.</w:t>
      </w:r>
    </w:p>
    <w:p>
      <w:r>
        <w:pict>
          <v:rect style="width:0;height:1.5pt" o:hralign="center" o:hrstd="t" o:hr="t"/>
        </w:pict>
      </w:r>
    </w:p>
    <w:p>
      <w:pPr>
        <w:pStyle w:val="FirstParagraph"/>
      </w:pPr>
      <w:r>
        <w:rPr>
          <w:iCs/>
          <w:i/>
        </w:rPr>
        <w:t xml:space="preserve">Disclaimer: This document is for informational purposes regarding educational trends and does not constitute legal or official advisory services from the Dutch Ministry of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Education in Netherlands Amsterdam</dc:title>
  <dc:creator/>
  <dc:language>en</dc:language>
  <cp:keywords/>
  <dcterms:created xsi:type="dcterms:W3CDTF">2026-07-29T13:37:55Z</dcterms:created>
  <dcterms:modified xsi:type="dcterms:W3CDTF">2026-07-29T13:37:55Z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