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fc9f3704bf0d1b4a75f4e1bbe1a9e6f41b7f7ee"/>
    <w:p>
      <w:pPr>
        <w:pStyle w:val="Heading1"/>
      </w:pPr>
      <w:r>
        <w:t xml:space="preserve">Educating for the Future: A Case Study of Secondary Teacher Professional Development in New Zealand Auckland</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New Zealand Auckland</w:t>
      </w:r>
      <w:r>
        <w:br/>
      </w:r>
      <w:r>
        <w:rPr>
          <w:bCs/>
          <w:b/>
        </w:rPr>
        <w:t xml:space="preserve">Subject:</w:t>
      </w:r>
      <w:r>
        <w:t xml:space="preserve"> </w:t>
      </w:r>
      <w:r>
        <w:t xml:space="preserve">Secondary Education Reform and Cultural Competency</w:t>
      </w:r>
    </w:p>
    <w:bookmarkStart w:id="20" w:name="i.-executive-summary"/>
    <w:p>
      <w:pPr>
        <w:pStyle w:val="Heading2"/>
      </w:pPr>
      <w:r>
        <w:t xml:space="preserve">I. Executive Summary</w:t>
      </w:r>
    </w:p>
    <w:p>
      <w:pPr>
        <w:pStyle w:val="FirstParagraph"/>
      </w:pPr>
      <w:r>
        <w:t xml:space="preserve">This case study examines the transformative efforts undertaken by a cluster of secondary schools in the vibrant educational landscape of</w:t>
      </w:r>
      <w:r>
        <w:t xml:space="preserve"> </w:t>
      </w:r>
      <w:r>
        <w:rPr>
          <w:bCs/>
          <w:b/>
        </w:rPr>
        <w:t xml:space="preserve">New Zealand Auckland</w:t>
      </w:r>
      <w:r>
        <w:t xml:space="preserve">. The primary focus is on the evolution, challenges, and strategic implementation required for a modern Secondary teacher to thrive in this specific geographic and cultural context. As Auckland continues to grow as New Zealand’s largest city with one of the most diverse populations globally, its schools face unique pressures. This document explores how the role of a</w:t>
      </w:r>
      <w:r>
        <w:t xml:space="preserve"> </w:t>
      </w:r>
      <w:r>
        <w:rPr>
          <w:bCs/>
          <w:b/>
        </w:rPr>
        <w:t xml:space="preserve">Secondary teacher</w:t>
      </w:r>
      <w:r>
        <w:t xml:space="preserve"> </w:t>
      </w:r>
      <w:r>
        <w:t xml:space="preserve">has shifted from traditional instruction facilitator to a holistic mentor deeply embedded in community wellbeing, specifically addressing the needs of Māori and Pasifika learners within the Auckland demographic.</w:t>
      </w:r>
    </w:p>
    <w:bookmarkEnd w:id="20"/>
    <w:bookmarkStart w:id="21" w:name="X406f7ca1f3172f3db3a678bd64618420771db4d"/>
    <w:p>
      <w:pPr>
        <w:pStyle w:val="Heading2"/>
      </w:pPr>
      <w:r>
        <w:t xml:space="preserve">II. Contextual Background: The Auckland Ecosystem</w:t>
      </w:r>
    </w:p>
    <w:p>
      <w:pPr>
        <w:pStyle w:val="FirstParagraph"/>
      </w:pPr>
      <w:r>
        <w:t xml:space="preserve">Auckland is not merely a geographic location; it is a complex social ecosystem. With over 40% of New Zealand’s total population residing in the region, the city presents a microcosm of global diversity. For educators working in this region, understanding the local context is paramount. The student body in Auckland secondary schools often includes high percentages of recent immigrants, refugees, and families from various Pacific Island nations.</w:t>
      </w:r>
    </w:p>
    <w:p>
      <w:pPr>
        <w:pStyle w:val="BodyText"/>
      </w:pPr>
      <w:r>
        <w:rPr>
          <w:bCs/>
          <w:b/>
        </w:rPr>
        <w:t xml:space="preserve">Key Statistic:</w:t>
      </w:r>
      <w:r>
        <w:t xml:space="preserve"> </w:t>
      </w:r>
      <w:r>
        <w:t xml:space="preserve">In many South Auckland schools, over 70% of students identify as Māori or Pacific ethnicity. This demographic reality necessitates a teaching approach that is not culturally neutral but actively culturally responsive and sustaining.</w:t>
      </w:r>
    </w:p>
    <w:p>
      <w:pPr>
        <w:pStyle w:val="BodyText"/>
      </w:pPr>
      <w:r>
        <w:t xml:space="preserve">The pressure on the education system in</w:t>
      </w:r>
      <w:r>
        <w:t xml:space="preserve"> </w:t>
      </w:r>
      <w:r>
        <w:rPr>
          <w:bCs/>
          <w:b/>
        </w:rPr>
        <w:t xml:space="preserve">New Zealand Auckland</w:t>
      </w:r>
      <w:r>
        <w:t xml:space="preserve"> </w:t>
      </w:r>
      <w:r>
        <w:t xml:space="preserve">is compounded by socioeconomic disparities. While some areas boast high academic achievement, others struggle with resource allocation and access to support services. Consequently, the job description of a secondary teacher here has expanded significantly. They are no longer just responsible for delivering curriculum content in subjects such as Mathematics or English; they are expected to act as social workers, cultural brokers, and mental health first responders.</w:t>
      </w:r>
    </w:p>
    <w:bookmarkEnd w:id="21"/>
    <w:bookmarkStart w:id="24" w:name="X60489e6628557745f0442c4c0077d2a5d0b78b0"/>
    <w:p>
      <w:pPr>
        <w:pStyle w:val="Heading2"/>
      </w:pPr>
      <w:r>
        <w:t xml:space="preserve">III. The Changing Role of the Secondary Teacher</w:t>
      </w:r>
    </w:p>
    <w:p>
      <w:pPr>
        <w:pStyle w:val="FirstParagraph"/>
      </w:pPr>
      <w:r>
        <w:t xml:space="preserve">The traditional model of teaching is obsolete in the current Auckland climate. A modern secondary teacher must possess a robust understanding of Te Tiriti o Waitangi (The Treaty of Waitangi), which is the founding document of New Zealand. For a teacher operating in this environment, adherence to the Treaty principles—Partnership, Protection, and Participation—is not optional; it is professional and ethical necessity.</w:t>
      </w:r>
    </w:p>
    <w:bookmarkStart w:id="22" w:name="X9df8a526d91c5dc5efec92d53275756c79056f1"/>
    <w:p>
      <w:pPr>
        <w:pStyle w:val="Heading3"/>
      </w:pPr>
      <w:r>
        <w:t xml:space="preserve">A. Cultural Responsiveness and Manaakitanga</w:t>
      </w:r>
    </w:p>
    <w:p>
      <w:pPr>
        <w:pStyle w:val="FirstParagraph"/>
      </w:pPr>
      <w:r>
        <w:t xml:space="preserve">Mhanaakitanga (hospitality, generosity, and care) is a core Māori value that has become central to the identity of many Auckland schools. A secondary teacher must demonstrate manaakitanga in every interaction with students, whānau (family), and colleagues. This involves creating safe spaces where students feel valued and respected regardless of their background.</w:t>
      </w:r>
    </w:p>
    <w:p>
      <w:pPr>
        <w:pStyle w:val="BodyText"/>
      </w:pPr>
      <w:r>
        <w:t xml:space="preserve">In practice, this means adapting pedagogical strategies to include collaborative learning methods that resonate with Pacific cultural values of community and collective success. It also requires teachers to integrate Māori perspectives into all subject areas, ensuring that knowledge systems are diverse and inclusive. For instance, a science teacher might incorporate traditional Māori ecological knowledge alongside Western scientific methods, validating the heritage of their students.</w:t>
      </w:r>
    </w:p>
    <w:bookmarkEnd w:id="22"/>
    <w:bookmarkStart w:id="23" w:name="Xb5c4e75ae14b923797c07bbdd7b61b5e8e149ac"/>
    <w:p>
      <w:pPr>
        <w:pStyle w:val="Heading3"/>
      </w:pPr>
      <w:r>
        <w:t xml:space="preserve">B. Addressing Educational Achievement Gaps</w:t>
      </w:r>
    </w:p>
    <w:p>
      <w:pPr>
        <w:pStyle w:val="FirstParagraph"/>
      </w:pPr>
      <w:r>
        <w:t xml:space="preserve">A significant challenge for secondary teachers in Auckland is closing the achievement gap between Māori and non-Māori students. This case study highlights a specific initiative at "Te Ara Hou High School," a fictionalized composite of several real-world schools in South Auckland. The school implemented a mentorship program where teachers were trained specifically to act as cultural liaisons.</w:t>
      </w:r>
    </w:p>
    <w:p>
      <w:pPr>
        <w:pStyle w:val="BodyText"/>
      </w:pPr>
      <w:r>
        <w:t xml:space="preserve">The results indicated that when teachers actively engaged with the local iwi (tribe) and community leaders, student attendance improved by 15%, and engagement levels rose significantly. This underscores the fact that effective teaching in this region is deeply relational. Teachers cannot work in isolation; they must build bridges between the school, home, and community.</w:t>
      </w:r>
    </w:p>
    <w:bookmarkEnd w:id="23"/>
    <w:bookmarkEnd w:id="24"/>
    <w:bookmarkStart w:id="25" w:name="Xbd39f4008d4b80c2fccf10ddf2d85313207f630"/>
    <w:p>
      <w:pPr>
        <w:pStyle w:val="Heading2"/>
      </w:pPr>
      <w:r>
        <w:t xml:space="preserve">IV. Professional Challenges and Support Systems</w:t>
      </w:r>
    </w:p>
    <w:p>
      <w:pPr>
        <w:pStyle w:val="FirstParagraph"/>
      </w:pPr>
      <w:r>
        <w:t xml:space="preserve">Becoming a secondary teacher in</w:t>
      </w:r>
      <w:r>
        <w:t xml:space="preserve"> </w:t>
      </w:r>
      <w:r>
        <w:rPr>
          <w:bCs/>
          <w:b/>
        </w:rPr>
        <w:t xml:space="preserve">New Zealand Auckland</w:t>
      </w:r>
      <w:r>
        <w:t xml:space="preserve"> </w:t>
      </w:r>
      <w:r>
        <w:t xml:space="preserve">is demanding. High workload expectations, combined with the emotional labor of supporting students through complex socio-economic challenges, lead to high rates of burnout. To combat this, several Auckland-based educational providers have introduced new support frameworks.</w:t>
      </w:r>
    </w:p>
    <w:p>
      <w:pPr>
        <w:numPr>
          <w:ilvl w:val="0"/>
          <w:numId w:val="1001"/>
        </w:numPr>
        <w:pStyle w:val="Compact"/>
      </w:pPr>
      <w:r>
        <w:rPr>
          <w:bCs/>
          <w:b/>
        </w:rPr>
        <w:t xml:space="preserve">Mentorship Programs:</w:t>
      </w:r>
      <w:r>
        <w:t xml:space="preserve"> </w:t>
      </w:r>
      <w:r>
        <w:t xml:space="preserve">New teachers are paired with experienced educators who specialize in indigenous pedagogy and trauma-informed care.</w:t>
      </w:r>
    </w:p>
    <w:p>
      <w:pPr>
        <w:numPr>
          <w:ilvl w:val="0"/>
          <w:numId w:val="1001"/>
        </w:numPr>
        <w:pStyle w:val="Compact"/>
      </w:pPr>
      <w:r>
        <w:rPr>
          <w:bCs/>
          <w:b/>
        </w:rPr>
        <w:t xml:space="preserve">Mental Health Resources:</w:t>
      </w:r>
    </w:p>
    <w:p>
      <w:pPr>
        <w:numPr>
          <w:ilvl w:val="0"/>
          <w:numId w:val="1001"/>
        </w:numPr>
        <w:pStyle w:val="Compact"/>
      </w:pPr>
      <w:r>
        <w:rPr>
          <w:bCs/>
          <w:b/>
        </w:rPr>
        <w:t xml:space="preserve">Community Collaboration:</w:t>
      </w:r>
      <w:r>
        <w:t xml:space="preserve"> </w:t>
      </w:r>
      <w:r>
        <w:t xml:space="preserve">Teachers are encouraged to participate in local community events, fostering a sense of belonging and shared responsibility for student success.</w:t>
      </w:r>
    </w:p>
    <w:bookmarkEnd w:id="25"/>
    <w:bookmarkStart w:id="26" w:name="Xfffb806298b0966918fb543eabb480f0a725411"/>
    <w:p>
      <w:pPr>
        <w:pStyle w:val="Heading2"/>
      </w:pPr>
      <w:r>
        <w:t xml:space="preserve">V. Strategic Recommendations for Stakeholders</w:t>
      </w:r>
    </w:p>
    <w:p>
      <w:pPr>
        <w:pStyle w:val="FirstParagraph"/>
      </w:pPr>
      <w:r>
        <w:t xml:space="preserve">To sustain the progress made by secondary teachers in Auckland, several strategic recommendations are proposed:</w:t>
      </w:r>
    </w:p>
    <w:p>
      <w:pPr>
        <w:numPr>
          <w:ilvl w:val="0"/>
          <w:numId w:val="1002"/>
        </w:numPr>
        <w:pStyle w:val="Compact"/>
      </w:pPr>
      <w:r>
        <w:rPr>
          <w:bCs/>
          <w:b/>
        </w:rPr>
        <w:t xml:space="preserve">Rewards and Recognition:</w:t>
      </w:r>
      <w:r>
        <w:t xml:space="preserve"> </w:t>
      </w:r>
      <w:r>
        <w:t xml:space="preserve">The Ministry of Education should recognize the extra hours and emotional labor contributed by teachers working in high-needs areas. Special allowances or career progression opportunities could be tied to proficiency in Te Reo Māori (the Māori language) and cultural competency.</w:t>
      </w:r>
    </w:p>
    <w:p>
      <w:pPr>
        <w:numPr>
          <w:ilvl w:val="0"/>
          <w:numId w:val="1002"/>
        </w:numPr>
        <w:pStyle w:val="Compact"/>
      </w:pPr>
      <w:r>
        <w:rPr>
          <w:bCs/>
          <w:b/>
        </w:rPr>
        <w:t xml:space="preserve">Curriculum Flexibility:</w:t>
      </w:r>
      <w:r>
        <w:t xml:space="preserve"> </w:t>
      </w:r>
      <w:r>
        <w:t xml:space="preserve">While national standards exist, there should be more flexibility for Auckland schools to adapt curricula to reflect local community issues and interests. This relevance increases student engagement.</w:t>
      </w:r>
    </w:p>
    <w:p>
      <w:pPr>
        <w:numPr>
          <w:ilvl w:val="0"/>
          <w:numId w:val="1002"/>
        </w:numPr>
        <w:pStyle w:val="Compact"/>
      </w:pPr>
      <w:r>
        <w:rPr>
          <w:bCs/>
          <w:b/>
        </w:rPr>
        <w:t xml:space="preserve">Ongoing Professional Development:</w:t>
      </w:r>
      <w:r>
        <w:t xml:space="preserve"> </w:t>
      </w:r>
      <w:r>
        <w:t xml:space="preserve">Continuous training in digital literacy is essential, but equally important is ongoing training in implicit bias and anti-racist practices. Teachers must regularly reflect on their own cultural assumptions.</w:t>
      </w:r>
    </w:p>
    <w:bookmarkEnd w:id="26"/>
    <w:bookmarkStart w:id="27" w:name="vi.-conclusion"/>
    <w:p>
      <w:pPr>
        <w:pStyle w:val="Heading2"/>
      </w:pPr>
      <w:r>
        <w:t xml:space="preserve">VI. Conclusion</w:t>
      </w:r>
    </w:p>
    <w:p>
      <w:pPr>
        <w:pStyle w:val="FirstParagraph"/>
      </w:pPr>
      <w:r>
        <w:t xml:space="preserve">The case of the secondary teacher in</w:t>
      </w:r>
      <w:r>
        <w:t xml:space="preserve"> </w:t>
      </w:r>
      <w:r>
        <w:rPr>
          <w:bCs/>
          <w:b/>
        </w:rPr>
        <w:t xml:space="preserve">New Zealand Auckland</w:t>
      </w:r>
      <w:r>
        <w:t xml:space="preserve"> </w:t>
      </w:r>
      <w:r>
        <w:t xml:space="preserve">illustrates a profound shift in the nature of teaching profession. It is no longer sufficient to simply know one’s subject; one must also know their students, their communities, and the broader historical and social contexts that shape educational outcomes. As Auckland continues to evolve, so too must the role of its educators.</w:t>
      </w:r>
    </w:p>
    <w:p>
      <w:pPr>
        <w:pStyle w:val="BodyText"/>
      </w:pPr>
      <w:r>
        <w:t xml:space="preserve">The success of this model relies on a commitment to equity, inclusion, and partnership. By embracing these values, secondary teachers in Auckland are not only improving academic results but also fostering a generation of young people who are proud of their identities and equipped to navigate an increasingly globalized world. This case study serves as both a testament to the resilience of educators in this region and a roadmap for future educational policy development across New Zealand.</w:t>
      </w:r>
    </w:p>
    <w:p>
      <w:pPr>
        <w:pStyle w:val="BodyText"/>
      </w:pPr>
      <w:r>
        <w:t xml:space="preserve">Ultimately, investing in the secondary teacher is investing in the future of Auckland. Their ability to connect, inspire, and empower diverse learners is the cornerstone of social cohesion and economic prosperity for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New Zealand Auckland</dc:title>
  <dc:creator/>
  <dc:language>en</dc:language>
  <cp:keywords/>
  <dcterms:created xsi:type="dcterms:W3CDTF">2026-07-29T16:42:12Z</dcterms:created>
  <dcterms:modified xsi:type="dcterms:W3CDTF">2026-07-29T16:42:12Z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