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Secondary</w:t>
      </w:r>
      <w:r>
        <w:t xml:space="preserve"> </w:t>
      </w:r>
      <w:r>
        <w:t xml:space="preserve">Education</w:t>
      </w:r>
      <w:r>
        <w:t xml:space="preserve"> </w:t>
      </w:r>
      <w:r>
        <w:t xml:space="preserve">in</w:t>
      </w:r>
      <w:r>
        <w:t xml:space="preserve"> </w:t>
      </w:r>
      <w:r>
        <w:t xml:space="preserve">New</w:t>
      </w:r>
      <w:r>
        <w:t xml:space="preserve"> </w:t>
      </w:r>
      <w:r>
        <w:t xml:space="preserve">Zealand</w:t>
      </w:r>
      <w:r>
        <w:t xml:space="preserve"> </w:t>
      </w:r>
      <w:r>
        <w:t xml:space="preserve">Wellington</w:t>
      </w:r>
    </w:p>
    <w:bookmarkStart w:id="32" w:name="X4b597be4d2c5a52ef74d6a0c201337e02ae48c6"/>
    <w:p>
      <w:pPr>
        <w:pStyle w:val="Heading1"/>
      </w:pPr>
      <w:r>
        <w:t xml:space="preserve">Case Study: Revitalizing Teacher Secondary Education in New Zealand Wellington Through Indigenous Pedagogy and Digital Integration</w:t>
      </w:r>
    </w:p>
    <w:p>
      <w:pPr>
        <w:pStyle w:val="FirstParagraph"/>
      </w:pPr>
      <w:r>
        <w:rPr>
          <w:bCs/>
          <w:b/>
        </w:rPr>
        <w:t xml:space="preserve">Date:</w:t>
      </w:r>
      <w:r>
        <w:t xml:space="preserve"> </w:t>
      </w:r>
      <w:r>
        <w:t xml:space="preserve">October 26, 2023</w:t>
      </w:r>
      <w:r>
        <w:br/>
      </w:r>
      <w:r>
        <w:rPr>
          <w:bCs/>
          <w:b/>
        </w:rPr>
        <w:t xml:space="preserve">Contact Region:</w:t>
      </w:r>
      <w:r>
        <w:t xml:space="preserve">New Zealand Wellington</w:t>
      </w:r>
      <w:r>
        <w:br/>
      </w:r>
      <w:r>
        <w:rPr>
          <w:bCs/>
          <w:b/>
        </w:rPr>
        <w:t xml:space="preserve">Subject Focus:</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presents a comprehensive analysis of the structural and pedagogical shifts occurring within the secondary education sector in New Zealand Wellington. As urban centers evolve, so too must the frameworks governing how secondary teachers are trained, supported, and deployed. This case study examines a pilot initiative implemented across three diverse high schools in Wellington to address growing disparities in student engagement and achievement outcomes for Māori and Pasifika learners.</w:t>
      </w:r>
    </w:p>
    <w:p>
      <w:pPr>
        <w:pStyle w:val="BodyText"/>
      </w:pPr>
      <w:r>
        <w:t xml:space="preserve">The core objective of this initiative was to redefine the role of the</w:t>
      </w:r>
      <w:r>
        <w:t xml:space="preserve"> </w:t>
      </w:r>
      <w:r>
        <w:rPr>
          <w:bCs/>
          <w:b/>
        </w:rPr>
        <w:t xml:space="preserve">Teacher Secondary</w:t>
      </w:r>
      <w:r>
        <w:t xml:space="preserve"> </w:t>
      </w:r>
      <w:r>
        <w:t xml:space="preserve">practitioner, moving away from traditional instructional models toward a culturally responsive, digitally integrated approach that honors Te Tiriti o Waitangi principles. By focusing on Wellington’s unique demographic and cultural landscape, this study highlights how targeted professional development and curriculum adaptation can lead to measurable improvements in student well-being and academic performance.</w:t>
      </w:r>
    </w:p>
    <w:bookmarkEnd w:id="20"/>
    <w:bookmarkStart w:id="21" w:name="X42c8ce6208e1b910cc9999c9154152396bc23f2"/>
    <w:p>
      <w:pPr>
        <w:pStyle w:val="Heading2"/>
      </w:pPr>
      <w:r>
        <w:t xml:space="preserve">2. Contextual Background: The Landscape of New Zealand Wellington</w:t>
      </w:r>
    </w:p>
    <w:p>
      <w:pPr>
        <w:pStyle w:val="FirstParagraph"/>
      </w:pPr>
      <w:r>
        <w:rPr>
          <w:bCs/>
          <w:b/>
        </w:rPr>
        <w:t xml:space="preserve">New Zealand Wellington</w:t>
      </w:r>
      <w:r>
        <w:t xml:space="preserve">, the capital city of New Zealand, serves as a microcosm for national educational challenges and opportunities. It is a rapidly growing metropolitan hub characterized by cultural diversity, socioeconomic variation, and strong community ties. However like many urban centers globally Wellington’s secondary schools face pressure from increasing student numbers diverse learning needs and the lingering impacts of post-pandemic educational disruption.</w:t>
      </w:r>
    </w:p>
    <w:p>
      <w:pPr>
        <w:pStyle w:val="BodyText"/>
      </w:pPr>
      <w:r>
        <w:t xml:space="preserve">In recent years data from the Ministry of Education has indicated a plateau in NCEA (National Certificate of Educational Achievement) results particularly among indigenous Māori students and those from low-income deciles. Furthermore there has been an exodus experienced by qualified secondary teachers due to burnout lack of support and rigid curricular demands. These factors necessitated a localized response tailored specifically to the Wellington context which blends urban challenges with rural educational best practices adapted for city environments.</w:t>
      </w:r>
    </w:p>
    <w:bookmarkEnd w:id="21"/>
    <w:bookmarkStart w:id="22" w:name="X4a9b1c440abb0f904d090052551605ffce324c7"/>
    <w:p>
      <w:pPr>
        <w:pStyle w:val="Heading2"/>
      </w:pPr>
      <w:r>
        <w:t xml:space="preserve">3. Problem Statement: The Evolving Role of the Teacher Secondary</w:t>
      </w:r>
    </w:p>
    <w:p>
      <w:pPr>
        <w:pStyle w:val="FirstParagraph"/>
      </w:pPr>
      <w:r>
        <w:t xml:space="preserve">The central problem identified in this case study is the misalignment between traditional teacher training methods and the contemporary realities faced by students in Wellington’s secondary schools. Historically teacher preparation has emphasized content knowledge and classroom management but often neglected cultural competency digital literacy beyond basic tools and holistic student support strategies.</w:t>
      </w:r>
    </w:p>
    <w:p>
      <w:pPr>
        <w:pStyle w:val="BodyText"/>
      </w:pPr>
      <w:r>
        <w:t xml:space="preserve">Specific challenges included:</w:t>
      </w:r>
    </w:p>
    <w:p>
      <w:pPr>
        <w:numPr>
          <w:ilvl w:val="0"/>
          <w:numId w:val="1001"/>
        </w:numPr>
        <w:pStyle w:val="Compact"/>
      </w:pPr>
      <w:r>
        <w:rPr>
          <w:bCs/>
          <w:b/>
        </w:rPr>
        <w:t xml:space="preserve">Cultural Disconnection:</w:t>
      </w:r>
    </w:p>
    <w:p>
      <w:pPr>
        <w:numPr>
          <w:ilvl w:val="0"/>
          <w:numId w:val="1001"/>
        </w:numPr>
        <w:pStyle w:val="Compact"/>
      </w:pPr>
      <w:r>
        <w:rPr>
          <w:bCs/>
          <w:b/>
        </w:rPr>
        <w:t xml:space="preserve">Digital Divide:</w:t>
      </w:r>
    </w:p>
    <w:p>
      <w:pPr>
        <w:numPr>
          <w:ilvl w:val="0"/>
          <w:numId w:val="1001"/>
        </w:numPr>
        <w:pStyle w:val="Compact"/>
      </w:pPr>
      <w:r>
        <w:rPr>
          <w:bCs/>
          <w:b/>
        </w:rPr>
        <w:t xml:space="preserve">Teacher Attrition:</w:t>
      </w:r>
    </w:p>
    <w:bookmarkEnd w:id="22"/>
    <w:bookmarkStart w:id="24" w:name="methodology-the-pilot-initiative"/>
    <w:p>
      <w:pPr>
        <w:pStyle w:val="Heading2"/>
      </w:pPr>
      <w:r>
        <w:t xml:space="preserve">4. Methodology: The Pilot Initiative</w:t>
      </w:r>
    </w:p>
    <w:p>
      <w:pPr>
        <w:pStyle w:val="FirstParagraph"/>
      </w:pPr>
      <w:r>
        <w:t xml:space="preserve">To address these issues a collaborative project was launched involving Victoria University’s Faculty of Education local school principals and iwi (tribal) leaders. The program, titled "Whānau Ora in the Classroom," aimed to equip secondary teachers with new competencies essential for modern Wellington classrooms.</w:t>
      </w:r>
    </w:p>
    <w:bookmarkStart w:id="23" w:name="key-components-of-the-intervention"/>
    <w:p>
      <w:pPr>
        <w:pStyle w:val="Heading3"/>
      </w:pPr>
      <w:r>
        <w:t xml:space="preserve">4.1 Key Components of the Intervention</w:t>
      </w:r>
    </w:p>
    <w:p>
      <w:pPr>
        <w:numPr>
          <w:ilvl w:val="0"/>
          <w:numId w:val="1002"/>
        </w:numPr>
        <w:pStyle w:val="Compact"/>
      </w:pPr>
      <w:r>
        <w:rPr>
          <w:bCs/>
          <w:b/>
        </w:rPr>
        <w:t xml:space="preserve">Culturally Responsive Pedagogy Training:</w:t>
      </w:r>
    </w:p>
    <w:p>
      <w:pPr>
        <w:numPr>
          <w:ilvl w:val="0"/>
          <w:numId w:val="1002"/>
        </w:numPr>
        <w:pStyle w:val="Compact"/>
      </w:pPr>
      <w:r>
        <w:rPr>
          <w:bCs/>
          <w:b/>
        </w:rPr>
        <w:t xml:space="preserve">Digital Fluency Upgrades:</w:t>
      </w:r>
    </w:p>
    <w:p>
      <w:pPr>
        <w:numPr>
          <w:ilvl w:val="0"/>
          <w:numId w:val="1002"/>
        </w:numPr>
        <w:pStyle w:val="Compact"/>
      </w:pPr>
      <w:r>
        <w:rPr>
          <w:bCs/>
          <w:b/>
        </w:rPr>
        <w:t xml:space="preserve">Mentorship Networks:</w:t>
      </w:r>
    </w:p>
    <w:p>
      <w:pPr>
        <w:numPr>
          <w:ilvl w:val="0"/>
          <w:numId w:val="1002"/>
        </w:numPr>
        <w:pStyle w:val="Compact"/>
      </w:pPr>
      <w:r>
        <w:rPr>
          <w:bCs/>
          <w:b/>
        </w:rPr>
        <w:t xml:space="preserve">Holistic Wellbeing Frameworks:</w:t>
      </w:r>
    </w:p>
    <w:bookmarkEnd w:id="23"/>
    <w:bookmarkEnd w:id="24"/>
    <w:bookmarkStart w:id="25" w:name="implementation-challenges"/>
    <w:p>
      <w:pPr>
        <w:pStyle w:val="Heading2"/>
      </w:pPr>
      <w:r>
        <w:t xml:space="preserve">5. Implementation Challenges</w:t>
      </w:r>
    </w:p>
    <w:p>
      <w:pPr>
        <w:pStyle w:val="FirstParagraph"/>
      </w:pPr>
      <w:r>
        <w:t xml:space="preserve">The transition was not without obstacles. Initial resistance from some faculty members stemmed from concerns over increased workload and skepticism regarding the practicality of integrating cultural narratives into STEM subjects. Additionally logistical issues arose in coordinating training sessions across multiple sites in Wellington’s geographically constrained peninsula.</w:t>
      </w:r>
    </w:p>
    <w:p>
      <w:pPr>
        <w:pStyle w:val="BodyText"/>
      </w:pPr>
      <w:r>
        <w:t xml:space="preserve">To mitigate these challenges school leadership implemented protected time for professional learning communities (PLCs). These weekly meetings allowed teachers to collaboratively design lessons that met both national curriculum standards and cultural goals. Leadership also secured additional funding to provide substitute teachers, ensuring coverage while participating staff attended intensive workshops.</w:t>
      </w:r>
    </w:p>
    <w:bookmarkEnd w:id="25"/>
    <w:bookmarkStart w:id="29" w:name="results-and-outcomes"/>
    <w:p>
      <w:pPr>
        <w:pStyle w:val="Heading2"/>
      </w:pPr>
      <w:r>
        <w:t xml:space="preserve">6. Results and Outcomes</w:t>
      </w:r>
    </w:p>
    <w:p>
      <w:pPr>
        <w:pStyle w:val="FirstParagraph"/>
      </w:pPr>
      <w:r>
        <w:t xml:space="preserve">After two academic years the pilot program demonstrated significant positive outcomes across all participating Wellington secondary schools:</w:t>
      </w:r>
    </w:p>
    <w:bookmarkStart w:id="26" w:name="a-improved-student-engagement"/>
    <w:p>
      <w:pPr>
        <w:pStyle w:val="Heading3"/>
      </w:pPr>
      <w:r>
        <w:rPr>
          <w:bCs/>
          <w:b/>
        </w:rPr>
        <w:t xml:space="preserve">a) Improved Student Engagement</w:t>
      </w:r>
    </w:p>
    <w:p>
      <w:pPr>
        <w:pStyle w:val="FirstParagraph"/>
      </w:pPr>
      <w:r>
        <w:t xml:space="preserve">Surveys indicated a 40% increase in student satisfaction regarding classroom inclusivity. Māori and Pasifika students reported feeling more valued and understood by their teachers, leading to higher attendance rates.</w:t>
      </w:r>
    </w:p>
    <w:bookmarkEnd w:id="26"/>
    <w:bookmarkStart w:id="27" w:name="b-academic-achievement"/>
    <w:p>
      <w:pPr>
        <w:pStyle w:val="Heading3"/>
      </w:pPr>
      <w:r>
        <w:rPr>
          <w:bCs/>
          <w:b/>
        </w:rPr>
        <w:t xml:space="preserve">b) Academic Achievement</w:t>
      </w:r>
    </w:p>
    <w:p>
      <w:pPr>
        <w:pStyle w:val="FirstParagraph"/>
      </w:pPr>
      <w:r>
        <w:t xml:space="preserve">NCEA pass rates for Year 11 and 12 students improved by an average of 8% compared to previous years. Notably there was a marked decrease in the disparity gap between indigenous and non-indigenous student performance.</w:t>
      </w:r>
    </w:p>
    <w:bookmarkEnd w:id="27"/>
    <w:bookmarkStart w:id="28" w:name="c-teacher-retention"/>
    <w:p>
      <w:pPr>
        <w:pStyle w:val="Heading3"/>
      </w:pPr>
      <w:r>
        <w:rPr>
          <w:bCs/>
          <w:b/>
        </w:rPr>
        <w:t xml:space="preserve">c) Teacher Retention</w:t>
      </w:r>
    </w:p>
    <w:p>
      <w:pPr>
        <w:pStyle w:val="FirstParagraph"/>
      </w:pPr>
      <w:r>
        <w:t xml:space="preserve">Mentorship and peer support significantly reduced burnout symptoms. Teacher turnover in the pilot schools dropped by 25%, stabilizing workforce stability in critical years levels.</w:t>
      </w:r>
    </w:p>
    <w:p>
      <w:pPr>
        <w:pStyle w:val="BodyText"/>
      </w:pPr>
      <w:r>
        <w:rPr>
          <w:bCs/>
          <w:b/>
        </w:rPr>
        <w:t xml:space="preserve">Key Insight:</w:t>
      </w:r>
      <w:r>
        <w:t xml:space="preserve"> </w:t>
      </w:r>
      <w:r>
        <w:t xml:space="preserve">The success of this case study hinges on the recognition that a</w:t>
      </w:r>
      <w:r>
        <w:t xml:space="preserve"> </w:t>
      </w:r>
      <w:r>
        <w:rPr>
          <w:bCs/>
          <w:b/>
        </w:rPr>
        <w:t xml:space="preserve">Teacher Secondary</w:t>
      </w:r>
      <w:r>
        <w:t xml:space="preserve"> </w:t>
      </w:r>
      <w:r>
        <w:t xml:space="preserve">is not merely a conduit for information but a cultural broker and digital facilitator. In</w:t>
      </w:r>
    </w:p>
    <w:p>
      <w:pPr>
        <w:pStyle w:val="BodyText"/>
      </w:pPr>
      <w:r>
        <w:t xml:space="preserve">New Zealand Wellington, where community identity is deeply rooted in both colonial and indigenous histories, effective teaching requires this dual competency.</w:t>
      </w:r>
    </w:p>
    <w:bookmarkEnd w:id="28"/>
    <w:bookmarkEnd w:id="29"/>
    <w:bookmarkStart w:id="30" w:name="Xb5b6c34e29ea3fb5f2b18ed418391ba3587855a"/>
    <w:p>
      <w:pPr>
        <w:pStyle w:val="Heading2"/>
      </w:pPr>
      <w:r>
        <w:rPr>
          <w:bCs/>
          <w:b/>
        </w:rPr>
        <w:t xml:space="preserve">7. Discussion: Implications for Future Practice</w:t>
      </w:r>
    </w:p>
    <w:p>
      <w:pPr>
        <w:pStyle w:val="FirstParagraph"/>
      </w:pPr>
      <w:r>
        <w:t xml:space="preserve">The findings suggest that professional development must be ongoing contextualized and community-driven rather than one-off events. For teacher education programs in New Zealand Wellington it is imperative that pre-service training embeds cultural competency from day one not as an elective add-on but as a core pillar.</w:t>
      </w:r>
    </w:p>
    <w:p>
      <w:pPr>
        <w:pStyle w:val="BodyText"/>
      </w:pPr>
      <w:r>
        <w:t xml:space="preserve">Furthermore the role of school leadership in Wellington must evolve to support innovative pedagogical approaches. Administrators need to provide the structural flexibility for teachers to experiment with culturally responsive methods and digital tools. This includes rethinking assessment models that prioritize holistic growth alongside traditional metrics.</w:t>
      </w:r>
    </w:p>
    <w:bookmarkEnd w:id="30"/>
    <w:bookmarkStart w:id="31" w:name="conclusion"/>
    <w:p>
      <w:pPr>
        <w:pStyle w:val="Heading2"/>
      </w:pPr>
      <w:r>
        <w:rPr>
          <w:bCs/>
          <w:b/>
        </w:rPr>
        <w:t xml:space="preserve">8. Conclusion</w:t>
      </w:r>
    </w:p>
    <w:p>
      <w:pPr>
        <w:pStyle w:val="FirstParagraph"/>
      </w:pPr>
      <w:r>
        <w:t xml:space="preserve">This case study underscores the transformative potential of reimagining secondary education in New Zealand Wellington through a lens of cultural respect and technological empowerment. By focusing on the comprehensive development of the</w:t>
      </w:r>
    </w:p>
    <w:p>
      <w:pPr>
        <w:pStyle w:val="BodyText"/>
      </w:pPr>
      <w:r>
        <w:t xml:space="preserve">Teacher Secondary, including their ability to navigate complex cultural dynamics and leverage digital innovations, schools can create more equitable learning environments.</w:t>
      </w:r>
    </w:p>
    <w:p>
      <w:pPr>
        <w:pStyle w:val="BodyText"/>
      </w:pPr>
      <w:r>
        <w:t xml:space="preserve">The experience in Wellington offers valuable lessons for other urban centers facing similar challenges. It demonstrates that when education systems align with local community values and support teacher well-being they can achieve sustainable improvements in student outcomes. As New Zealand continues to grapple with questions of identity equity and innovation this model provides a robust framework for future policy development.</w:t>
      </w:r>
    </w:p>
    <w:p>
      <w:pPr>
        <w:pStyle w:val="BodyText"/>
      </w:pPr>
      <w:r>
        <w:rPr>
          <w:bCs/>
          <w:b/>
        </w:rPr>
        <w:t xml:space="preserve">Recommendations:</w:t>
      </w:r>
    </w:p>
    <w:p>
      <w:pPr>
        <w:numPr>
          <w:ilvl w:val="0"/>
          <w:numId w:val="1003"/>
        </w:numPr>
        <w:pStyle w:val="Compact"/>
      </w:pPr>
      <w:r>
        <w:t xml:space="preserve">National teacher accreditation bodies should mandate culturally responsive pedagogy modules for all secondary qualifications.</w:t>
      </w:r>
    </w:p>
    <w:p>
      <w:pPr>
        <w:numPr>
          <w:ilvl w:val="0"/>
          <w:numId w:val="1003"/>
        </w:numPr>
        <w:pStyle w:val="Compact"/>
      </w:pPr>
      <w:r>
        <w:t xml:space="preserve">Government funding should prioritize ongoing professional learning in Wellington schools to sustain momentum from initiatives like this one.</w:t>
      </w:r>
    </w:p>
    <w:p>
      <w:pPr>
        <w:numPr>
          <w:ilvl w:val="0"/>
          <w:numId w:val="1003"/>
        </w:numPr>
        <w:pStyle w:val="Compact"/>
      </w:pPr>
      <w:r>
        <w:t xml:space="preserve">Further research is needed to track long-term impacts on university entrance rates and workforce participation of students educated under these new models.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Secondary Education in New Zealand Wellington</dc:title>
  <dc:creator/>
  <dc:language>en</dc:language>
  <cp:keywords/>
  <dcterms:created xsi:type="dcterms:W3CDTF">2026-07-29T13:26:09Z</dcterms:created>
  <dcterms:modified xsi:type="dcterms:W3CDTF">2026-07-29T13:26:09Z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