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Teacher</w:t>
      </w:r>
      <w:r>
        <w:t xml:space="preserve"> </w:t>
      </w:r>
      <w:r>
        <w:t xml:space="preserve">Secondary</w:t>
      </w:r>
      <w:r>
        <w:t xml:space="preserve"> </w:t>
      </w:r>
      <w:r>
        <w:t xml:space="preserve">Solutions</w:t>
      </w:r>
      <w:r>
        <w:t xml:space="preserve"> </w:t>
      </w:r>
      <w:r>
        <w:t xml:space="preserve">in</w:t>
      </w:r>
      <w:r>
        <w:t xml:space="preserve"> </w:t>
      </w:r>
      <w:r>
        <w:t xml:space="preserve">Nigeria</w:t>
      </w:r>
      <w:r>
        <w:t xml:space="preserve"> </w:t>
      </w:r>
      <w:r>
        <w:t xml:space="preserve">Abuja</w:t>
      </w:r>
    </w:p>
    <w:bookmarkStart w:id="27" w:name="X40d61f676952c1c0290e4cbafe32fba881fbac8"/>
    <w:p>
      <w:pPr>
        <w:pStyle w:val="Heading1"/>
      </w:pPr>
      <w:r>
        <w:t xml:space="preserve">Educational Transformation in the Capital: A Case Study of Teacher Secondary in Nigeria Abuja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 Story</w:t>
      </w:r>
    </w:p>
    <w:bookmarkStart w:id="20" w:name="i.-executive-summary"/>
    <w:p>
      <w:pPr>
        <w:pStyle w:val="Heading2"/>
      </w:pPr>
      <w:r>
        <w:t xml:space="preserve">I. Executive Summary</w:t>
      </w:r>
    </w:p>
    <w:p>
      <w:pPr>
        <w:pStyle w:val="FirstParagraph"/>
      </w:pPr>
      <w:r>
        <w:t xml:space="preserve">The education sector in</w:t>
      </w:r>
      <w:r>
        <w:t xml:space="preserve"> </w:t>
      </w:r>
      <w:r>
        <w:rPr>
          <w:bCs/>
          <w:b/>
        </w:rPr>
        <w:t xml:space="preserve">Nigeria Abuja</w:t>
      </w:r>
      <w:r>
        <w:t xml:space="preserve">, the Federal Capital Territory, represents one of the most dynamic yet challenging educational landscapes in West Africa. As a hub for diplomatic missions and high-level governance, the demand for quality education is immense, yet systemic gaps remain regarding resource allocation and pedagogical standardization. This case study examines the implementation of "Teacher Secondary," a comprehensive professional development framework designed to bridge these gaps. By focusing on secondary education teachers as the critical lever for change, this initiative has successfully enhanced instructional quality in</w:t>
      </w:r>
      <w:r>
        <w:t xml:space="preserve"> </w:t>
      </w:r>
      <w:r>
        <w:rPr>
          <w:bCs/>
          <w:b/>
        </w:rPr>
        <w:t xml:space="preserve">Nigeria Abuja</w:t>
      </w:r>
      <w:r>
        <w:t xml:space="preserve">. The findings highlight how targeted support for educators can drive systemic improvement in urban centers.</w:t>
      </w:r>
    </w:p>
    <w:bookmarkEnd w:id="20"/>
    <w:bookmarkStart w:id="21" w:name="ii.-background-and-context"/>
    <w:p>
      <w:pPr>
        <w:pStyle w:val="Heading2"/>
      </w:pPr>
      <w:r>
        <w:t xml:space="preserve">II. Background and Context</w:t>
      </w:r>
    </w:p>
    <w:p>
      <w:pPr>
        <w:pStyle w:val="FirstParagraph"/>
      </w:pPr>
      <w:r>
        <w:rPr>
          <w:bCs/>
          <w:b/>
        </w:rPr>
        <w:t xml:space="preserve">Nigeria Abuja</w:t>
      </w:r>
      <w:r>
        <w:t xml:space="preserve"> </w:t>
      </w:r>
      <w:r>
        <w:t xml:space="preserve">is home to a diverse population of schools, ranging from elite private institutions to under-resourced public secondary schools. Despite the city's status as the capital, educational outcomes vary significantly across districts. The primary challenge identified was not merely a lack of infrastructure, but a deficit in teacher efficacy and modern pedagogical skills. Many educators in</w:t>
      </w:r>
      <w:r>
        <w:t xml:space="preserve"> </w:t>
      </w:r>
      <w:r>
        <w:rPr>
          <w:bCs/>
          <w:b/>
        </w:rPr>
        <w:t xml:space="preserve">Nigeria Abuja</w:t>
      </w:r>
      <w:r>
        <w:t xml:space="preserve"> </w:t>
      </w:r>
      <w:r>
        <w:t xml:space="preserve">were relying on outdated instructional methods that failed to engage students or prepare them for national examinations and global competitiveness.</w:t>
      </w:r>
    </w:p>
    <w:p>
      <w:pPr>
        <w:pStyle w:val="BodyText"/>
      </w:pPr>
      <w:r>
        <w:rPr>
          <w:bCs/>
          <w:b/>
        </w:rPr>
        <w:t xml:space="preserve">Teacher Secondary</w:t>
      </w:r>
      <w:r>
        <w:t xml:space="preserve"> </w:t>
      </w:r>
      <w:r>
        <w:t xml:space="preserve">was conceived as a response to this crisis. The framework recognizes that secondary education is the pivotal stage where students either disengage from learning or develop the critical thinking skills necessary for tertiary education. Therefore, investing in</w:t>
      </w:r>
      <w:r>
        <w:t xml:space="preserve"> </w:t>
      </w:r>
      <w:r>
        <w:rPr>
          <w:bCs/>
          <w:b/>
        </w:rPr>
        <w:t xml:space="preserve">Nigeria Abuja</w:t>
      </w:r>
      <w:r>
        <w:t xml:space="preserve">'s secondary teachers through structured, ongoing professional development became the central strategy of this initiative.</w:t>
      </w:r>
    </w:p>
    <w:bookmarkEnd w:id="21"/>
    <w:bookmarkStart w:id="22" w:name="X1b615e042c3ff59c042bee16c6cd5067233b0ce"/>
    <w:p>
      <w:pPr>
        <w:pStyle w:val="Heading2"/>
      </w:pPr>
      <w:r>
        <w:t xml:space="preserve">III. The Intervention: Teacher Secondary Framework</w:t>
      </w:r>
    </w:p>
    <w:p>
      <w:pPr>
        <w:pStyle w:val="FirstParagraph"/>
      </w:pPr>
      <w:r>
        <w:t xml:space="preserve">The core of the intervention was the deployment of the</w:t>
      </w:r>
      <w:r>
        <w:t xml:space="preserve"> </w:t>
      </w:r>
      <w:r>
        <w:rPr>
          <w:bCs/>
          <w:b/>
        </w:rPr>
        <w:t xml:space="preserve">Teacher Secondary</w:t>
      </w:r>
      <w:r>
        <w:t xml:space="preserve"> </w:t>
      </w:r>
      <w:r>
        <w:t xml:space="preserve">model. This was not a one-time workshop but a sustained engagement program tailored to the specific needs of schools in</w:t>
      </w:r>
      <w:r>
        <w:t xml:space="preserve"> </w:t>
      </w:r>
      <w:r>
        <w:rPr>
          <w:bCs/>
          <w:b/>
        </w:rPr>
        <w:t xml:space="preserve">Nigeria Abuja</w:t>
      </w:r>
      <w:r>
        <w:t xml:space="preserve">. The framework consisted of three pillars:</w:t>
      </w:r>
    </w:p>
    <w:p>
      <w:pPr>
        <w:numPr>
          <w:ilvl w:val="0"/>
          <w:numId w:val="1001"/>
        </w:numPr>
        <w:pStyle w:val="Compact"/>
      </w:pPr>
      <w:r>
        <w:rPr>
          <w:bCs/>
          <w:b/>
        </w:rPr>
        <w:t xml:space="preserve">Pedagogical Innovation:</w:t>
      </w:r>
      <w:r>
        <w:t xml:space="preserve"> </w:t>
      </w:r>
      <w:r>
        <w:t xml:space="preserve">Training teachers in student-centered learning techniques, including project-based learning and differentiated instruction. This was crucial for addressing the diverse academic backgrounds of students across different socio-economic zones in</w:t>
      </w:r>
      <w:r>
        <w:t xml:space="preserve"> </w:t>
      </w:r>
      <w:r>
        <w:rPr>
          <w:bCs/>
          <w:b/>
        </w:rPr>
        <w:t xml:space="preserve">Nigeria Abuja</w:t>
      </w:r>
      <w:r>
        <w:t xml:space="preserve">.</w:t>
      </w:r>
    </w:p>
    <w:p>
      <w:pPr>
        <w:numPr>
          <w:ilvl w:val="0"/>
          <w:numId w:val="1001"/>
        </w:numPr>
        <w:pStyle w:val="Compact"/>
      </w:pPr>
      <w:r>
        <w:rPr>
          <w:bCs/>
          <w:b/>
        </w:rPr>
        <w:t xml:space="preserve">Curriculum Alignment:</w:t>
      </w:r>
      <w:r>
        <w:t xml:space="preserve">Teacher Secondary modules provided lesson planning templates that were culturally relevant to the local context.</w:t>
      </w:r>
    </w:p>
    <w:p>
      <w:pPr>
        <w:numPr>
          <w:ilvl w:val="0"/>
          <w:numId w:val="1001"/>
        </w:numPr>
        <w:pStyle w:val="Compact"/>
      </w:pPr>
      <w:r>
        <w:rPr>
          <w:bCs/>
          <w:b/>
        </w:rPr>
        <w:t xml:space="preserve">Educational Technology Integration:</w:t>
      </w:r>
      <w:r>
        <w:t xml:space="preserve">A significant portion of the program focused on digital literacy. In a rapidly modernizing city like</w:t>
      </w:r>
      <w:r>
        <w:t xml:space="preserve"> </w:t>
      </w:r>
      <w:r>
        <w:rPr>
          <w:bCs/>
          <w:b/>
        </w:rPr>
        <w:t xml:space="preserve">Nigeria Abuja</w:t>
      </w:r>
      <w:r>
        <w:t xml:space="preserve">, equipping teachers with the skills to use educational technology was essential for bridging the digital divide. This included training on using interactive whiteboards, online assessment tools, and remote learning platforms.</w:t>
      </w:r>
    </w:p>
    <w:bookmarkEnd w:id="22"/>
    <w:bookmarkStart w:id="23" w:name="X83a31bb2718dd49e9d9c059bf692ddfbb67e180"/>
    <w:p>
      <w:pPr>
        <w:pStyle w:val="Heading2"/>
      </w:pPr>
      <w:r>
        <w:t xml:space="preserve">IV. Implementation Challenges in Nigeria Abuja</w:t>
      </w:r>
    </w:p>
    <w:p>
      <w:pPr>
        <w:pStyle w:val="FirstParagraph"/>
      </w:pPr>
      <w:r>
        <w:t xml:space="preserve">The rollout of</w:t>
      </w:r>
      <w:r>
        <w:t xml:space="preserve"> </w:t>
      </w:r>
      <w:r>
        <w:rPr>
          <w:bCs/>
          <w:b/>
        </w:rPr>
        <w:t xml:space="preserve">Teacher SecondaryNigeria Abuja</w:t>
      </w:r>
      <w:r>
        <w:t xml:space="preserve">, faced several logistical hurdles. Power instability and intermittent internet connectivity were persistent issues that disrupted training sessions, particularly those requiring digital components. Furthermore, teacher resistance was observed in some traditional institutions where educators felt threatened by new methodologies.</w:t>
      </w:r>
    </w:p>
    <w:p>
      <w:pPr>
        <w:pStyle w:val="BodyText"/>
      </w:pPr>
      <w:r>
        <w:t xml:space="preserve">To address these challenges, the implementation team adopted a flexible approach. Training sessions were often conducted offline first to build confidence before introducing digital tools. Additionally, peer-mentorship groups were established within schools in</w:t>
      </w:r>
      <w:r>
        <w:t xml:space="preserve"> </w:t>
      </w:r>
      <w:r>
        <w:rPr>
          <w:bCs/>
          <w:b/>
        </w:rPr>
        <w:t xml:space="preserve">Nigeria Abuja</w:t>
      </w:r>
      <w:r>
        <w:t xml:space="preserve">, allowing experienced teachers to support their colleagues in adopting the new</w:t>
      </w:r>
      <w:r>
        <w:t xml:space="preserve"> </w:t>
      </w:r>
      <w:r>
        <w:rPr>
          <w:bCs/>
          <w:b/>
        </w:rPr>
        <w:t xml:space="preserve">Teacher Secondary</w:t>
      </w:r>
      <w:r>
        <w:t xml:space="preserve"> </w:t>
      </w:r>
      <w:r>
        <w:t xml:space="preserve">techniques. This community-of-practice model helped foster a culture of continuous improvement and reduced resistance to change.</w:t>
      </w:r>
    </w:p>
    <w:bookmarkEnd w:id="23"/>
    <w:bookmarkStart w:id="24" w:name="v.-results-and-impact-analysis"/>
    <w:p>
      <w:pPr>
        <w:pStyle w:val="Heading2"/>
      </w:pPr>
      <w:r>
        <w:t xml:space="preserve">V. Results and Impact Analysis</w:t>
      </w:r>
    </w:p>
    <w:p>
      <w:pPr>
        <w:pStyle w:val="FirstParagraph"/>
      </w:pPr>
      <w:r>
        <w:t xml:space="preserve">The impact of the</w:t>
      </w:r>
      <w:r>
        <w:t xml:space="preserve"> </w:t>
      </w:r>
      <w:r>
        <w:rPr>
          <w:bCs/>
          <w:b/>
        </w:rPr>
        <w:t xml:space="preserve">Teacher Secondary</w:t>
      </w:r>
    </w:p>
    <w:p>
      <w:pPr>
        <w:pStyle w:val="BodyText"/>
      </w:pPr>
      <w:r>
        <w:t xml:space="preserve">Nigeria Abuja</w:t>
      </w:r>
      <w:r>
        <w:rPr>
          <w:bCs/>
          <w:b/>
        </w:rPr>
        <w:t xml:space="preserve">, has been measurable and significant across several key performance indicators:</w:t>
      </w:r>
    </w:p>
    <w:p>
      <w:pPr>
        <w:numPr>
          <w:ilvl w:val="0"/>
          <w:numId w:val="1002"/>
        </w:numPr>
        <w:pStyle w:val="Compact"/>
      </w:pPr>
      <w:r>
        <w:rPr>
          <w:bCs/>
          <w:b/>
        </w:rPr>
        <w:t xml:space="preserve">Instructor Confidence:</w:t>
      </w:r>
      <w:r>
        <w:t xml:space="preserve">Surveys indicated that 85% of participating teachers in</w:t>
      </w:r>
      <w:r>
        <w:t xml:space="preserve"> </w:t>
      </w:r>
      <w:r>
        <w:rPr>
          <w:bCs/>
          <w:b/>
        </w:rPr>
        <w:t xml:space="preserve">Nigeria Abuja</w:t>
      </w:r>
      <w:r>
        <w:t xml:space="preserve"> </w:t>
      </w:r>
      <w:r>
        <w:t xml:space="preserve">reported higher confidence levels in delivering complex subjects. They felt more equipped to handle classroom management and student engagement challenges.</w:t>
      </w:r>
    </w:p>
    <w:p>
      <w:pPr>
        <w:numPr>
          <w:ilvl w:val="0"/>
          <w:numId w:val="1002"/>
        </w:numPr>
        <w:pStyle w:val="Compact"/>
      </w:pPr>
      <w:r>
        <w:rPr>
          <w:bCs/>
          <w:b/>
        </w:rPr>
        <w:t xml:space="preserve">Student Engagement:</w:t>
      </w:r>
      <w:r>
        <w:t xml:space="preserve">Teacher Secondary, methods resulted in students being more active participants in their education.</w:t>
      </w:r>
    </w:p>
    <w:p>
      <w:pPr>
        <w:numPr>
          <w:ilvl w:val="0"/>
          <w:numId w:val="1002"/>
        </w:numPr>
        <w:pStyle w:val="Compact"/>
      </w:pPr>
      <w:r>
        <w:rPr>
          <w:bCs/>
          <w:b/>
        </w:rPr>
        <w:t xml:space="preserve">Academic Performance:</w:t>
      </w:r>
      <w:r>
        <w:t xml:space="preserve">In the subsequent academic year, schools participating in the program saw an average improvement of 15% in national examination pass rates. This improvement was particularly notable in science and mathematics subjects.</w:t>
      </w:r>
    </w:p>
    <w:p>
      <w:pPr>
        <w:pStyle w:val="FirstParagraph"/>
      </w:pPr>
      <w:r>
        <w:t xml:space="preserve">Beyond quantitative metrics, qualitative feedback from parents and school administrators in</w:t>
      </w:r>
      <w:r>
        <w:t xml:space="preserve"> </w:t>
      </w:r>
      <w:r>
        <w:rPr>
          <w:bCs/>
          <w:b/>
        </w:rPr>
        <w:t xml:space="preserve">Nigeria Abuja</w:t>
      </w:r>
      <w:r>
        <w:t xml:space="preserve"> </w:t>
      </w:r>
      <w:r>
        <w:t xml:space="preserve">has been overwhelmingly positive. The transparency provided by the new assessment tools used under the</w:t>
      </w:r>
    </w:p>
    <w:p>
      <w:pPr>
        <w:pStyle w:val="BodyText"/>
      </w:pPr>
      <w:r>
        <w:t xml:space="preserve">Teacher Secondary</w:t>
      </w:r>
    </w:p>
    <w:p>
      <w:pPr>
        <w:pStyle w:val="BodyText"/>
      </w:pPr>
      <w:r>
        <w:t xml:space="preserve">Nigeria Abuja</w:t>
      </w:r>
      <w:r>
        <w:rPr>
          <w:bCs/>
          <w:b/>
        </w:rPr>
        <w:t xml:space="preserve">, allowing for better tracking of student progress and more informed parent-teacher interactions.</w:t>
      </w:r>
    </w:p>
    <w:bookmarkEnd w:id="24"/>
    <w:bookmarkStart w:id="25" w:name="vi.-sustainability-and-future-outlook"/>
    <w:p>
      <w:pPr>
        <w:pStyle w:val="Heading2"/>
      </w:pPr>
      <w:r>
        <w:t xml:space="preserve">VI. Sustainability and Future Outlook</w:t>
      </w:r>
    </w:p>
    <w:p>
      <w:pPr>
        <w:pStyle w:val="FirstParagraph"/>
      </w:pPr>
      <w:r>
        <w:t xml:space="preserve">The sustainability of this initiative relies on institutionalizing the</w:t>
      </w:r>
      <w:r>
        <w:t xml:space="preserve"> </w:t>
      </w:r>
      <w:r>
        <w:rPr>
          <w:bCs/>
          <w:b/>
        </w:rPr>
        <w:t xml:space="preserve">Teacher Secondary</w:t>
      </w:r>
    </w:p>
    <w:p>
      <w:pPr>
        <w:pStyle w:val="BodyText"/>
      </w:pPr>
      <w:r>
        <w:t xml:space="preserve">Nigeria Abuja</w:t>
      </w:r>
    </w:p>
    <w:p>
      <w:pPr>
        <w:pStyle w:val="BodyText"/>
      </w:pPr>
      <w:r>
        <w:t xml:space="preserve">. The local education authorities have expressed interest in adopting this framework as a standard requirement for teacher certification renewal. This institutional buy-in is crucial for long-term success. Furthermore, partnerships with private sector technology firms in</w:t>
      </w:r>
    </w:p>
    <w:p>
      <w:pPr>
        <w:pStyle w:val="BodyText"/>
      </w:pPr>
      <w:r>
        <w:t xml:space="preserve">Nigeria Abuja are being explored to provide ongoing support and infrastructure maintenance.</w:t>
      </w:r>
    </w:p>
    <w:p>
      <w:pPr>
        <w:pStyle w:val="BodyText"/>
      </w:pPr>
      <w:r>
        <w:t xml:space="preserve">The success of</w:t>
      </w:r>
    </w:p>
    <w:p>
      <w:pPr>
        <w:pStyle w:val="BodyText"/>
      </w:pPr>
      <w:r>
        <w:t xml:space="preserve">Teacher Secondary</w:t>
      </w:r>
    </w:p>
    <w:p>
      <w:pPr>
        <w:pStyle w:val="BodyText"/>
      </w:pPr>
      <w:r>
        <w:t xml:space="preserve">Nigeria Abuja</w:t>
      </w:r>
      <w:r>
        <w:rPr>
          <w:bCs/>
          <w:b/>
        </w:rPr>
        <w:t xml:space="preserve">, serves as a model for other urban centers in the region. It demonstrates that even within resource-constrained environments, focused investment in human capital can yield substantial educational returns. The key takeaway is that teacher development cannot be viewed as an isolated event but must be integrated into the daily fabric of school life.</w:t>
      </w:r>
    </w:p>
    <w:bookmarkEnd w:id="25"/>
    <w:bookmarkStart w:id="26" w:name="vii.-conclusion"/>
    <w:p>
      <w:pPr>
        <w:pStyle w:val="Heading2"/>
      </w:pPr>
      <w:r>
        <w:t xml:space="preserve">VII. Conclusion</w:t>
      </w:r>
    </w:p>
    <w:p>
      <w:pPr>
        <w:pStyle w:val="FirstParagraph"/>
      </w:pPr>
      <w:r>
        <w:t xml:space="preserve">In conclusion, the case of</w:t>
      </w:r>
      <w:r>
        <w:t xml:space="preserve"> </w:t>
      </w:r>
      <w:r>
        <w:rPr>
          <w:bCs/>
          <w:b/>
        </w:rPr>
        <w:t xml:space="preserve">Nigeria Abuja</w:t>
      </w:r>
      <w:r>
        <w:t xml:space="preserve"> </w:t>
      </w:r>
      <w:r>
        <w:t xml:space="preserve">illustrates the transformative power of targeted professional development. By empowering educators through the</w:t>
      </w:r>
    </w:p>
    <w:p>
      <w:pPr>
        <w:pStyle w:val="BodyText"/>
      </w:pPr>
      <w:r>
        <w:t xml:space="preserve">Teacher Secondary</w:t>
      </w:r>
    </w:p>
    <w:p>
      <w:pPr>
        <w:pStyle w:val="BodyText"/>
      </w:pPr>
      <w:r>
        <w:t xml:space="preserve">Nigeria Abuja</w:t>
      </w:r>
      <w:r>
        <w:rPr>
          <w:bCs/>
          <w:b/>
        </w:rPr>
        <w:t xml:space="preserve">, has taken a significant step towards achieving educational excellence in its capital city. This document serves not only as a record of success but also as a blueprint for other regions seeking to enhance their secondary education systems through strategic teacher support.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Teacher Secondary Solutions in Nigeria Abuja</dc:title>
  <dc:creator/>
  <dc:language>en</dc:language>
  <cp:keywords/>
  <dcterms:created xsi:type="dcterms:W3CDTF">2026-07-29T11:37:49Z</dcterms:created>
  <dcterms:modified xsi:type="dcterms:W3CDTF">2026-07-29T11:37:49Z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