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586d3386142ab6866a6b4955e485c7d97610e4"/>
    <w:p>
      <w:pPr>
        <w:pStyle w:val="Heading1"/>
      </w:pPr>
      <w:r>
        <w:t xml:space="preserve">A Comprehensive Case Study on the Secondary Teacher Ecosystem in Pakistan Islamabad</w:t>
      </w:r>
    </w:p>
    <w:p>
      <w:pPr>
        <w:pStyle w:val="FirstParagraph"/>
      </w:pPr>
      <w:r>
        <w:rPr>
          <w:bCs/>
          <w:b/>
        </w:rPr>
        <w:t xml:space="preserve">Date:</w:t>
      </w:r>
      <w:r>
        <w:t xml:space="preserve"> </w:t>
      </w:r>
      <w:r>
        <w:t xml:space="preserve">October 20, 2023</w:t>
      </w:r>
      <w:r>
        <w:br/>
      </w:r>
      <w:r>
        <w:rPr>
          <w:bCs/>
          <w:b/>
        </w:rPr>
        <w:t xml:space="preserve">Subject:</w:t>
      </w:r>
      <w:r>
        <w:t xml:space="preserve">Analyzing the Role, Challenges, and Strategic Development of the Secondary Teacher in Pakistan Islamabad</w:t>
      </w:r>
      <w:r>
        <w:br/>
      </w:r>
      <w:r>
        <w:rPr>
          <w:bCs/>
          <w:b/>
        </w:rPr>
        <w:t xml:space="preserve">Scope:</w:t>
      </w:r>
      <w:r>
        <w:t xml:space="preserve">Educational Policy Implementation, Pedagogy, and Socio-Economic Impact</w:t>
      </w:r>
    </w:p>
    <w:bookmarkStart w:id="20" w:name="executive-summary"/>
    <w:p>
      <w:pPr>
        <w:pStyle w:val="Heading2"/>
      </w:pPr>
      <w:r>
        <w:t xml:space="preserve">1. Executive Summary</w:t>
      </w:r>
    </w:p>
    <w:p>
      <w:pPr>
        <w:pStyle w:val="FirstParagraph"/>
      </w:pPr>
      <w:r>
        <w:t xml:space="preserve">The education sector in</w:t>
      </w:r>
      <w:r>
        <w:t xml:space="preserve"> </w:t>
      </w:r>
      <w:r>
        <w:rPr>
          <w:bCs/>
          <w:b/>
        </w:rPr>
        <w:t xml:space="preserve">Pakistan Islamabad</w:t>
      </w:r>
      <w:r>
        <w:t xml:space="preserve">, the capital territory of the country, stands at a critical juncture. As the seat of federal governance and home to numerous diplomatic missions and international organizations, Islamabad possesses a unique socio-economic demographic that demands high-quality educational infrastructure. At the heart of this system lies the</w:t>
      </w:r>
      <w:r>
        <w:t xml:space="preserve"> </w:t>
      </w:r>
      <w:r>
        <w:rPr>
          <w:bCs/>
          <w:b/>
        </w:rPr>
        <w:t xml:space="preserve">Secondary Teacher</w:t>
      </w:r>
      <w:r>
        <w:t xml:space="preserve">. This</w:t>
      </w:r>
      <w:r>
        <w:t xml:space="preserve"> </w:t>
      </w:r>
      <w:r>
        <w:rPr>
          <w:bCs/>
          <w:b/>
        </w:rPr>
        <w:t xml:space="preserve">Case Study</w:t>
      </w:r>
      <w:r>
        <w:t xml:space="preserve"> </w:t>
      </w:r>
      <w:r>
        <w:t xml:space="preserve">aims to dissect the current status, challenges, and future trajectories of secondary education within this specific geographic context. By focusing on the pedagogical responsibilities, systemic hurdles, and professional development needs of the Secondary Teacher in Pakistan Islamabad, this document provides a holistic view of how educational quality can be sustained and improved.</w:t>
      </w:r>
    </w:p>
    <w:bookmarkEnd w:id="20"/>
    <w:bookmarkStart w:id="23" w:name="X47b81a04f1fc42dabb76907ac80f9dbfebec8af"/>
    <w:p>
      <w:pPr>
        <w:pStyle w:val="Heading2"/>
      </w:pPr>
      <w:r>
        <w:t xml:space="preserve">2. Introduction: The Context of Education in Pakistan Islamabad</w:t>
      </w:r>
    </w:p>
    <w:p>
      <w:pPr>
        <w:pStyle w:val="FirstParagraph"/>
      </w:pPr>
      <w:r>
        <w:rPr>
          <w:bCs/>
          <w:b/>
        </w:rPr>
        <w:t xml:space="preserve">Pakistan Islamabad</w:t>
      </w:r>
      <w:r>
        <w:t xml:space="preserve"> </w:t>
      </w:r>
      <w:r>
        <w:t xml:space="preserve">is distinct from other provinces due to its planned infrastructure, higher literacy rates relative to national averages, and the presence of elite institutions such as the International Model School in G-8 and various Federal Board-affiliated public schools. However, beneath this veneer of modernity lies a complex educational landscape. The city serves as a microcosm of</w:t>
      </w:r>
      <w:r>
        <w:t xml:space="preserve"> </w:t>
      </w:r>
      <w:r>
        <w:rPr>
          <w:bCs/>
          <w:b/>
        </w:rPr>
        <w:t xml:space="preserve">Pakistan</w:t>
      </w:r>
      <w:r>
        <w:t xml:space="preserve">’s broader educational struggles: disparity between public and private sectors, the brain drain of qualified educators, and the urgent need for curriculum reform.</w:t>
      </w:r>
    </w:p>
    <w:p>
      <w:pPr>
        <w:pStyle w:val="BodyText"/>
      </w:pPr>
      <w:r>
        <w:t xml:space="preserve">The "Secondary" level in this context typically refers to grades 9 through 12 (Matriculation and Intermediate). This is a pivotal stage where students prepare for board examinations that determine their entry into higher education or vocational training. Consequently, the</w:t>
      </w:r>
      <w:r>
        <w:t xml:space="preserve"> </w:t>
      </w:r>
      <w:r>
        <w:rPr>
          <w:bCs/>
          <w:b/>
        </w:rPr>
        <w:t xml:space="preserve">Secondary Teacher</w:t>
      </w:r>
      <w:r>
        <w:t xml:space="preserve"> </w:t>
      </w:r>
      <w:r>
        <w:t xml:space="preserve">in</w:t>
      </w:r>
      <w:r>
        <w:t xml:space="preserve"> </w:t>
      </w:r>
      <w:r>
        <w:rPr>
          <w:bCs/>
          <w:b/>
        </w:rPr>
        <w:t xml:space="preserve">Pakistan Islamabad</w:t>
      </w:r>
      <w:r>
        <w:t xml:space="preserve"> </w:t>
      </w:r>
      <w:r>
        <w:t xml:space="preserve">bears the weight of shaping the nation’s future workforce and intellectual capital.</w:t>
      </w:r>
    </w:p>
    <w:p>
      <w:pPr>
        <w:pStyle w:val="BodyText"/>
      </w:pPr>
      <w:r>
        <w:t xml:space="preserve">3. Profile of the Secondary Teacher in Pakistan Islamabad</w:t>
      </w:r>
    </w:p>
    <w:p>
      <w:pPr>
        <w:pStyle w:val="BodyText"/>
      </w:pPr>
      <w:r>
        <w:t xml:space="preserve">The archetype of a</w:t>
      </w:r>
    </w:p>
    <w:bookmarkStart w:id="21" w:name="professional-qualifications"/>
    <w:p>
      <w:pPr>
        <w:pStyle w:val="Heading4"/>
      </w:pPr>
      <w:r>
        <w:t xml:space="preserve">3.1 Professional Qualifications</w:t>
      </w:r>
    </w:p>
    <w:p>
      <w:pPr>
        <w:pStyle w:val="FirstParagraph"/>
      </w:pPr>
      <w:r>
        <w:t xml:space="preserve">To serve as a</w:t>
      </w:r>
      <w:r>
        <w:t xml:space="preserve"> </w:t>
      </w:r>
      <w:r>
        <w:rPr>
          <w:bCs/>
          <w:b/>
        </w:rPr>
        <w:t xml:space="preserve">Secondary TeacherPakistan Islamabad</w:t>
      </w:r>
      <w:r>
        <w:t xml:space="preserve">, candidates are generally required to hold at least a Bachelor’s degree in their subject matter (e.g., Physics, Urdu, English) and a B.Ed or M.Ed from a recognized university. In the competitive environment of the capital, many teachers now possess Master’s degrees. The Federal Board for Intermediate and Secondary Education (FBISE) sets strict criteria for teacher eligibility to ensure that those imparting knowledge in Islamabad meet national standards.</w:t>
      </w:r>
    </w:p>
    <w:bookmarkEnd w:id="21"/>
    <w:bookmarkStart w:id="22" w:name="roles-and-responsibilities"/>
    <w:p>
      <w:pPr>
        <w:pStyle w:val="Heading4"/>
      </w:pPr>
      <w:r>
        <w:t xml:space="preserve">3.2 Roles and Responsibilities</w:t>
      </w:r>
    </w:p>
    <w:p>
      <w:pPr>
        <w:pStyle w:val="FirstParagraph"/>
      </w:pPr>
      <w:r>
        <w:t xml:space="preserve">Beyond delivering content, the Pakistan, teachers often bridge cultural gaps. They are responsible for:</w:t>
      </w:r>
    </w:p>
    <w:p>
      <w:pPr>
        <w:numPr>
          <w:ilvl w:val="0"/>
          <w:numId w:val="1001"/>
        </w:numPr>
        <w:pStyle w:val="Compact"/>
      </w:pPr>
      <w:r>
        <w:rPr>
          <w:bCs/>
          <w:b/>
        </w:rPr>
        <w:t xml:space="preserve">Academic Rigor:</w:t>
      </w:r>
    </w:p>
    <w:p>
      <w:pPr>
        <w:numPr>
          <w:ilvl w:val="0"/>
          <w:numId w:val="1001"/>
        </w:numPr>
        <w:pStyle w:val="Compact"/>
      </w:pPr>
      <w:r>
        <w:rPr>
          <w:bCs/>
          <w:b/>
        </w:rPr>
        <w:t xml:space="preserve">Digital Integration:</w:t>
      </w:r>
    </w:p>
    <w:p>
      <w:pPr>
        <w:numPr>
          <w:ilvl w:val="0"/>
          <w:numId w:val="1001"/>
        </w:numPr>
        <w:pStyle w:val="Compact"/>
      </w:pPr>
      <w:r>
        <w:rPr>
          <w:bCs/>
          <w:b/>
        </w:rPr>
        <w:t xml:space="preserve">Civic Education:</w:t>
      </w:r>
    </w:p>
    <w:bookmarkEnd w:id="22"/>
    <w:bookmarkEnd w:id="23"/>
    <w:bookmarkStart w:id="24" w:name="Xccf94f43e3973dcf918fd06eac15ef31ce8a2ba"/>
    <w:p>
      <w:pPr>
        <w:pStyle w:val="Heading2"/>
      </w:pPr>
      <w:r>
        <w:t xml:space="preserve">4. Key Challenges Facing the Secondary Teacher</w:t>
      </w:r>
    </w:p>
    <w:p>
      <w:pPr>
        <w:pStyle w:val="FirstParagraph"/>
      </w:pPr>
      <w:r>
        <w:t xml:space="preserve">This</w:t>
      </w:r>
    </w:p>
    <w:p>
      <w:pPr>
        <w:pStyle w:val="BodyText"/>
      </w:pPr>
      <w:r>
        <w:t xml:space="preserve">4.1 Infrastructure and Resource Disparity</w:t>
      </w:r>
    </w:p>
    <w:p>
      <w:pPr>
        <w:pStyle w:val="BodyText"/>
      </w:pPr>
      <w:r>
        <w:t xml:space="preserve">4.2 Student Diversity and Learning Gaps</w:t>
      </w:r>
    </w:p>
    <w:p>
      <w:pPr>
        <w:pStyle w:val="BodyText"/>
      </w:pPr>
      <w:r>
        <w:t xml:space="preserve">The student population in</w:t>
      </w:r>
    </w:p>
    <w:p>
      <w:pPr>
        <w:pStyle w:val="BodyText"/>
      </w:pPr>
      <w:r>
        <w:t xml:space="preserve">4.3 Professional Development and Training</w:t>
      </w:r>
    </w:p>
    <w:p>
      <w:pPr>
        <w:pStyle w:val="BodyText"/>
      </w:pPr>
      <w:r>
        <w:t xml:space="preserve">A critical finding in this</w:t>
      </w:r>
    </w:p>
    <w:p>
      <w:pPr>
        <w:pStyle w:val="BodyText"/>
      </w:pPr>
      <w:r>
        <w:t xml:space="preserve">4.4 Societal Pressure and Exam-Centric Culture</w:t>
      </w:r>
    </w:p>
    <w:p>
      <w:pPr>
        <w:pStyle w:val="BodyText"/>
      </w:pPr>
      <w:r>
        <w:t xml:space="preserve">The education system in</w:t>
      </w:r>
    </w:p>
    <w:bookmarkEnd w:id="24"/>
    <w:bookmarkStart w:id="25" w:name="strategic-recommendations"/>
    <w:p>
      <w:pPr>
        <w:pStyle w:val="Heading2"/>
      </w:pPr>
      <w:r>
        <w:t xml:space="preserve">5. Strategic Recommendations</w:t>
      </w:r>
    </w:p>
    <w:p>
      <w:pPr>
        <w:pStyle w:val="FirstParagraph"/>
      </w:pPr>
      <w:r>
        <w:t xml:space="preserve">To enhance the quality of secondary education in</w:t>
      </w:r>
      <w:r>
        <w:t xml:space="preserve"> </w:t>
      </w:r>
      <w:r>
        <w:rPr>
          <w:bCs/>
          <w:b/>
        </w:rPr>
        <w:t xml:space="preserve">Pedagogical Reform:</w:t>
      </w:r>
      <w:r>
        <w:rPr>
          <w:bCs/>
          <w:b/>
        </w:rPr>
        <w:t xml:space="preserve"> </w:t>
      </w:r>
    </w:p>
    <w:p>
      <w:pPr>
        <w:pStyle w:val="BodyText"/>
      </w:pPr>
      <w:r>
        <w:rPr>
          <w:bCs/>
          <w:b/>
        </w:rPr>
        <w:t xml:space="preserve">Tech-Enabled Teaching:</w:t>
      </w:r>
      <w:r>
        <w:rPr>
          <w:bCs/>
          <w:b/>
        </w:rPr>
        <w:t xml:space="preserve"> </w:t>
      </w:r>
    </w:p>
    <w:p>
      <w:pPr>
        <w:pStyle w:val="BodyText"/>
      </w:pPr>
      <w:r>
        <w:rPr>
          <w:bCs/>
          <w:b/>
        </w:rPr>
        <w:t xml:space="preserve">Mentorship Programs:</w:t>
      </w:r>
      <w:r>
        <w:rPr>
          <w:bCs/>
          <w:b/>
        </w:rPr>
        <w:t xml:space="preserve"> </w:t>
      </w:r>
    </w:p>
    <w:bookmarkEnd w:id="25"/>
    <w:bookmarkStart w:id="26" w:name="conclusion"/>
    <w:p>
      <w:pPr>
        <w:pStyle w:val="Heading2"/>
      </w:pPr>
      <w:r>
        <w:t xml:space="preserve">6. Conclusion</w:t>
      </w:r>
    </w:p>
    <w:p>
      <w:pPr>
        <w:pStyle w:val="FirstParagraph"/>
      </w:pPr>
      <w:r>
        <w:t xml:space="preserve">The future of education in</w:t>
      </w:r>
    </w:p>
    <w:p>
      <w:pPr>
        <w:pStyle w:val="BodyText"/>
      </w:pPr>
      <w:r>
        <w:t xml:space="preserve">This</w:t>
      </w:r>
      <w:r>
        <w:t xml:space="preserve"> </w:t>
      </w:r>
      <w:r>
        <w:rPr>
          <w:bCs/>
          <w:b/>
        </w:rPr>
        <w:t xml:space="preserve">Case Study</w:t>
      </w:r>
      <w:r>
        <w:rPr>
          <w:bCs/>
          <w:b/>
        </w:rPr>
        <w:t xml:space="preserve"> </w:t>
      </w:r>
    </w:p>
    <w:bookmarkEnd w:id="26"/>
    <w:bookmarkStart w:id="27" w:name="references-and-further-reading"/>
    <w:p>
      <w:pPr>
        <w:pStyle w:val="Heading2"/>
      </w:pPr>
      <w:r>
        <w:t xml:space="preserve">7. References and Further Reading</w:t>
      </w:r>
    </w:p>
    <w:p>
      <w:pPr>
        <w:pStyle w:val="FirstParagraph"/>
      </w:pPr>
      <w:r>
        <w:t xml:space="preserve">Federal Board for Intermediate and Secondary Education (FBISE) Annual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2026-07-29T03:52:31Z</dcterms:created>
  <dcterms:modified xsi:type="dcterms:W3CDTF">2026-07-29T03:52:31Z</dcterms:modified>
</cp:coreProperties>
</file>

<file path=docProps/custom.xml><?xml version="1.0" encoding="utf-8"?>
<Properties xmlns="http://schemas.openxmlformats.org/officeDocument/2006/custom-properties" xmlns:vt="http://schemas.openxmlformats.org/officeDocument/2006/docPropsVTypes"/>
</file>