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3140e0317aa6760cd2a805cf9fd8de03f9865c5"/>
    <w:p>
      <w:pPr>
        <w:pStyle w:val="Heading1"/>
      </w:pPr>
      <w:r>
        <w:t xml:space="preserve">CASE STUDY: The Evolving Role of the Teacher Secondary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Internal Review</w:t>
      </w:r>
      <w:r>
        <w:br/>
      </w:r>
      <w:r>
        <w:rPr>
          <w:bCs/>
          <w:b/>
        </w:rPr>
        <w:t xml:space="preserve">Affiliation:</w:t>
      </w:r>
      <w:r>
        <w:t xml:space="preserve"> </w:t>
      </w:r>
      <w:r>
        <w:t xml:space="preserve">Department of Educational Strategy, Riyadh Metropolitan Area</w:t>
      </w:r>
    </w:p>
    <w:bookmarkStart w:id="20" w:name="executive-summary"/>
    <w:p>
      <w:pPr>
        <w:pStyle w:val="Heading2"/>
      </w:pPr>
      <w:r>
        <w:t xml:space="preserve">1. Executive Summary</w:t>
      </w:r>
    </w:p>
    <w:p>
      <w:pPr>
        <w:pStyle w:val="FirstParagraph"/>
      </w:pPr>
      <w:r>
        <w:t xml:space="preserve">The educational landscape in Saudi Arabia is undergoing a profound transformation driven by Vision 2030, a strategic framework aimed at reducing the Kingdom's dependence on oil and diversifying its economy. At the heart of this transformation lies the human capital development sector, with secondary education serving as a critical pivot point for student outcomes. This case study examines the specific challenges, opportunities, and structural shifts facing the</w:t>
      </w:r>
      <w:r>
        <w:t xml:space="preserve"> </w:t>
      </w:r>
      <w:r>
        <w:rPr>
          <w:bCs/>
          <w:b/>
        </w:rPr>
        <w:t xml:space="preserve">Teacher Secondary</w:t>
      </w:r>
      <w:r>
        <w:t xml:space="preserve"> </w:t>
      </w:r>
      <w:r>
        <w:t xml:space="preserve">workforce within</w:t>
      </w:r>
      <w:r>
        <w:t xml:space="preserve"> </w:t>
      </w:r>
      <w:r>
        <w:rPr>
          <w:bCs/>
          <w:b/>
        </w:rPr>
        <w:t xml:space="preserve">Saudi Arabia Riyadh</w:t>
      </w:r>
      <w:r>
        <w:t xml:space="preserve">. By analyzing current pedagogical trends, technological integration efforts, and cultural nuances unique to the capital city of Riyadh, this document outlines how secondary educators are adapting to become facilitators of critical thinking rather than mere transmitters of knowledge.</w:t>
      </w:r>
    </w:p>
    <w:bookmarkEnd w:id="20"/>
    <w:bookmarkStart w:id="21" w:name="X502ed060168e6524acf23c98a5c3b9c59e4ec99"/>
    <w:p>
      <w:pPr>
        <w:pStyle w:val="Heading2"/>
      </w:pPr>
      <w:r>
        <w:t xml:space="preserve">2. Contextual Background: The Vision 2030 Imperative</w:t>
      </w:r>
    </w:p>
    <w:p>
      <w:pPr>
        <w:pStyle w:val="FirstParagraph"/>
      </w:pPr>
      <w:r>
        <w:t xml:space="preserve">Riyadh, as the political and economic hub of Saudi Arabia, has been designated as a primary zone for educational experimentation and reform. The Ministry of Education has set ambitious goals to improve literacy rates, enhance digital literacy among youth, and foster innovation in science and mathematics. In this high-stakes environment, the role of the</w:t>
      </w:r>
      <w:r>
        <w:t xml:space="preserve"> </w:t>
      </w:r>
      <w:r>
        <w:rPr>
          <w:bCs/>
          <w:b/>
        </w:rPr>
        <w:t xml:space="preserve">Teacher Secondary</w:t>
      </w:r>
      <w:r>
        <w:t xml:space="preserve"> </w:t>
      </w:r>
      <w:r>
        <w:t xml:space="preserve">is no longer confined to traditional instruction. Instead, educators are expected to cultivate soft skills such as creativity, collaboration, and problem-solving.</w:t>
      </w:r>
    </w:p>
    <w:p>
      <w:pPr>
        <w:pStyle w:val="BodyText"/>
      </w:pPr>
      <w:r>
        <w:t xml:space="preserve">In Riyadh specifically, the demographic pressure is immense. The capital attracts families from across the Kingdom due to its economic opportunities and infrastructure development. This influx has led to overcrowded classrooms in certain districts and a heightened demand for specialized instruction. Consequently, the</w:t>
      </w:r>
      <w:r>
        <w:t xml:space="preserve"> </w:t>
      </w:r>
      <w:r>
        <w:rPr>
          <w:bCs/>
          <w:b/>
        </w:rPr>
        <w:t xml:space="preserve">Saudi Arabia Riyadh</w:t>
      </w:r>
      <w:r>
        <w:t xml:space="preserve"> </w:t>
      </w:r>
      <w:r>
        <w:t xml:space="preserve">educational authorities have initiated targeted professional development programs aimed at upskilling existing teachers while recruiting new talent capable of delivering modern curricula.</w:t>
      </w:r>
    </w:p>
    <w:bookmarkEnd w:id="21"/>
    <w:bookmarkStart w:id="24" w:name="X4bc107ecab60e2bc48fad05958547a24a5af4b2"/>
    <w:p>
      <w:pPr>
        <w:pStyle w:val="Heading2"/>
      </w:pPr>
      <w:r>
        <w:t xml:space="preserve">3. Profile of the Target Subject: Teacher Secondary</w:t>
      </w:r>
    </w:p>
    <w:p>
      <w:pPr>
        <w:pStyle w:val="FirstParagraph"/>
      </w:pPr>
      <w:r>
        <w:t xml:space="preserve">The term "</w:t>
      </w:r>
      <w:r>
        <w:rPr>
          <w:bCs/>
          <w:b/>
        </w:rPr>
        <w:t xml:space="preserve">Teacher Secondary</w:t>
      </w:r>
      <w:r>
        <w:t xml:space="preserve">" in this context refers to educators working with students aged approximately 15 to 18 years old. This demographic is pivotal as they are on the verge of entering higher education or the workforce. The profile of a successful secondary teacher in modern Riyadh requires a blend of academic expertise and emotional intelligence.</w:t>
      </w:r>
    </w:p>
    <w:bookmarkStart w:id="22" w:name="pedagogical-shifts"/>
    <w:p>
      <w:pPr>
        <w:pStyle w:val="Heading3"/>
      </w:pPr>
      <w:r>
        <w:t xml:space="preserve">3.1 Pedagogical Shifts</w:t>
      </w:r>
    </w:p>
    <w:p>
      <w:pPr>
        <w:pStyle w:val="FirstParagraph"/>
      </w:pPr>
      <w:r>
        <w:t xml:space="preserve">Traditionally, teaching in many parts of the Gulf region relied heavily on rote memorization and teacher-centered instruction. However, the new curriculum standards in Riyadh mandate a shift toward student-centered learning. The modern</w:t>
      </w:r>
      <w:r>
        <w:t xml:space="preserve"> </w:t>
      </w:r>
      <w:r>
        <w:rPr>
          <w:bCs/>
          <w:b/>
        </w:rPr>
        <w:t xml:space="preserve">Teacher Secondary</w:t>
      </w:r>
      <w:r>
        <w:t xml:space="preserve"> </w:t>
      </w:r>
      <w:r>
        <w:t xml:space="preserve">must employ inquiry-based learning strategies, project-based assessments, and differentiated instruction to cater to diverse learning styles.</w:t>
      </w:r>
    </w:p>
    <w:bookmarkEnd w:id="22"/>
    <w:bookmarkStart w:id="23" w:name="technological-integration"/>
    <w:p>
      <w:pPr>
        <w:pStyle w:val="Heading3"/>
      </w:pPr>
      <w:r>
        <w:t xml:space="preserve">3.2 Technological Integration</w:t>
      </w:r>
    </w:p>
    <w:p>
      <w:pPr>
        <w:pStyle w:val="FirstParagraph"/>
      </w:pPr>
      <w:r>
        <w:t xml:space="preserve">Riyadh has seen a rapid deployment of smart classrooms and digital platforms such as "Madar" and other e-learning portals. The</w:t>
      </w:r>
      <w:r>
        <w:t xml:space="preserve"> </w:t>
      </w:r>
      <w:r>
        <w:rPr>
          <w:bCs/>
          <w:b/>
        </w:rPr>
        <w:t xml:space="preserve">Teacher Secondary</w:t>
      </w:r>
      <w:r>
        <w:t xml:space="preserve"> </w:t>
      </w:r>
      <w:r>
        <w:t xml:space="preserve">is now expected to be digitally literate, utilizing Learning Management Systems (LMS) to track student progress, deliver interactive content, and facilitate remote learning components. Resistance to technology has been identified as a significant hurdle in some older educator cohorts, necessitating ongoing workshops and mentorship programs.</w:t>
      </w:r>
    </w:p>
    <w:bookmarkEnd w:id="23"/>
    <w:bookmarkEnd w:id="24"/>
    <w:bookmarkStart w:id="27" w:name="Xb580dbbc5ac540be7aaa01a6b07a1b54868f09a"/>
    <w:p>
      <w:pPr>
        <w:pStyle w:val="Heading2"/>
      </w:pPr>
      <w:r>
        <w:t xml:space="preserve">4. Case Scenario: Implementation Challenges in Riyadh District 5</w:t>
      </w:r>
    </w:p>
    <w:p>
      <w:pPr>
        <w:pStyle w:val="FirstParagraph"/>
      </w:pPr>
      <w:r>
        <w:t xml:space="preserve">This section analyzes a specific scenario within a prominent secondary school complex in District 5 of Riyadh, where the implementation of new teaching standards faced initial resistance.</w:t>
      </w:r>
    </w:p>
    <w:p>
      <w:pPr>
        <w:pStyle w:val="BodyText"/>
      </w:pPr>
      <w:r>
        <w:rPr>
          <w:bCs/>
          <w:b/>
        </w:rPr>
        <w:t xml:space="preserve">The Challenge:</w:t>
      </w:r>
      <w:r>
        <w:t xml:space="preserve"> </w:t>
      </w:r>
      <w:r>
        <w:t xml:space="preserve">A cohort of experienced teachers, accustomed to traditional lecture methods, struggled to adapt to the new competency-based evaluation system introduced by the Ministry. Students were disengaged during lectures but showed high interest when given collaborative tasks. However, the teachers lacked confidence in managing group dynamics and assessing soft skills effectively.</w:t>
      </w:r>
    </w:p>
    <w:bookmarkStart w:id="25" w:name="intervention-strategy"/>
    <w:p>
      <w:pPr>
        <w:pStyle w:val="Heading3"/>
      </w:pPr>
      <w:r>
        <w:t xml:space="preserve">4.1 Intervention Strategy</w:t>
      </w:r>
    </w:p>
    <w:p>
      <w:pPr>
        <w:pStyle w:val="FirstParagraph"/>
      </w:pPr>
      <w:r>
        <w:t xml:space="preserve">To address this, the local education authority in Riyadh launched a pilot program called "Innovate Riyadh." This initiative paired veteran educators with younger, tech-savvy colleagues for peer mentoring. Furthermore, specialized training was provided on classroom management techniques suitable for active learning environments. The goal was to empower the</w:t>
      </w:r>
      <w:r>
        <w:t xml:space="preserve"> </w:t>
      </w:r>
      <w:r>
        <w:rPr>
          <w:bCs/>
          <w:b/>
        </w:rPr>
        <w:t xml:space="preserve">Teacher Secondary</w:t>
      </w:r>
      <w:r>
        <w:t xml:space="preserve"> </w:t>
      </w:r>
      <w:r>
        <w:t xml:space="preserve">to view themselves not just as subject matter experts, but as facilitators of student autonomy.</w:t>
      </w:r>
    </w:p>
    <w:bookmarkEnd w:id="25"/>
    <w:bookmarkStart w:id="26" w:name="outcomes"/>
    <w:p>
      <w:pPr>
        <w:pStyle w:val="Heading3"/>
      </w:pPr>
      <w:r>
        <w:t xml:space="preserve">4.2 Outcomes</w:t>
      </w:r>
    </w:p>
    <w:p>
      <w:pPr>
        <w:pStyle w:val="FirstParagraph"/>
      </w:pPr>
      <w:r>
        <w:t xml:space="preserve">Six months into the intervention, qualitative data collected from schools in Riyadh indicated a significant shift in classroom atmosphere. Teacher satisfaction scores improved by 18%, and student engagement metrics showed a marked increase in participation during STEM (Science, Technology, Engineering, and Mathematics) subjects. The case highlights that while the initial transition for the</w:t>
      </w:r>
      <w:r>
        <w:t xml:space="preserve"> </w:t>
      </w:r>
      <w:r>
        <w:rPr>
          <w:bCs/>
          <w:b/>
        </w:rPr>
        <w:t xml:space="preserve">Teacher Secondary</w:t>
      </w:r>
      <w:r>
        <w:t xml:space="preserve"> </w:t>
      </w:r>
      <w:r>
        <w:t xml:space="preserve">workforce is challenging, sustained support leads to measurable improvements in educational quality.</w:t>
      </w:r>
    </w:p>
    <w:bookmarkEnd w:id="26"/>
    <w:bookmarkEnd w:id="27"/>
    <w:bookmarkStart w:id="28" w:name="cultural-and-social-dynamics"/>
    <w:p>
      <w:pPr>
        <w:pStyle w:val="Heading2"/>
      </w:pPr>
      <w:r>
        <w:t xml:space="preserve">5. Cultural and Social Dynamics</w:t>
      </w:r>
    </w:p>
    <w:p>
      <w:pPr>
        <w:pStyle w:val="FirstParagraph"/>
      </w:pPr>
      <w:r>
        <w:t xml:space="preserve">Educating adolescents in Riyadh requires a deep understanding of local cultural values. The modern Saudi teenager is highly connected globally yet deeply rooted in local traditions. The</w:t>
      </w:r>
      <w:r>
        <w:t xml:space="preserve"> </w:t>
      </w:r>
      <w:r>
        <w:rPr>
          <w:bCs/>
          <w:b/>
        </w:rPr>
        <w:t xml:space="preserve">Teacher Secondary</w:t>
      </w:r>
      <w:r>
        <w:t xml:space="preserve"> </w:t>
      </w:r>
      <w:r>
        <w:t xml:space="preserve">must navigate this dual identity carefully.</w:t>
      </w:r>
    </w:p>
    <w:p>
      <w:pPr>
        <w:pStyle w:val="BodyText"/>
      </w:pPr>
      <w:r>
        <w:rPr>
          <w:bCs/>
          <w:b/>
        </w:rPr>
        <w:t xml:space="preserve">Mentorship Role:</w:t>
      </w:r>
      <w:r>
        <w:t xml:space="preserve"> </w:t>
      </w:r>
      <w:r>
        <w:t xml:space="preserve">In many cases, secondary teachers serve as mentors who guide students through the complexities of societal expectations versus personal aspirations. This is particularly relevant for female educators in Riyadh, who have seen a significant increase in their presence and leadership roles within schools following recent labor reforms.</w:t>
      </w:r>
    </w:p>
    <w:p>
      <w:pPr>
        <w:pStyle w:val="BodyText"/>
      </w:pPr>
      <w:r>
        <w:rPr>
          <w:bCs/>
          <w:b/>
        </w:rPr>
        <w:t xml:space="preserve">Inclusivity:</w:t>
      </w:r>
      <w:r>
        <w:t xml:space="preserve"> </w:t>
      </w:r>
      <w:r>
        <w:t xml:space="preserve">With a growing population of expatriate families and students from diverse regional backgrounds within Saudi Arabia, teachers in Riyadh must also practice cultural sensitivity. Creating an inclusive classroom environment where all students feel represented is a new competency being integrated into teacher training modules across the capital.</w:t>
      </w:r>
    </w:p>
    <w:bookmarkEnd w:id="28"/>
    <w:bookmarkStart w:id="29" w:name="strategic-recommendations"/>
    <w:p>
      <w:pPr>
        <w:pStyle w:val="Heading2"/>
      </w:pPr>
      <w:r>
        <w:t xml:space="preserve">6. Strategic Recommendations</w:t>
      </w:r>
    </w:p>
    <w:p>
      <w:pPr>
        <w:pStyle w:val="FirstParagraph"/>
      </w:pPr>
      <w:r>
        <w:t xml:space="preserve">Based on the findings from this case study regarding the state of secondary education in Riyadh, the following recommendations are proposed for stakeholders involved in educational policy and school administration:</w:t>
      </w:r>
    </w:p>
    <w:p>
      <w:pPr>
        <w:numPr>
          <w:ilvl w:val="0"/>
          <w:numId w:val="1001"/>
        </w:numPr>
        <w:pStyle w:val="Compact"/>
      </w:pPr>
      <w:r>
        <w:rPr>
          <w:bCs/>
          <w:b/>
        </w:rPr>
        <w:t xml:space="preserve">Continuous Professional Development (CPD):</w:t>
      </w:r>
      <w:r>
        <w:t xml:space="preserve"> </w:t>
      </w:r>
      <w:r>
        <w:t xml:space="preserve">Establish mandatory annual CPD cycles focused on digital pedagogy and psychological support for adolescents. The role of the</w:t>
      </w:r>
      <w:r>
        <w:t xml:space="preserve"> </w:t>
      </w:r>
      <w:r>
        <w:rPr>
          <w:bCs/>
          <w:b/>
        </w:rPr>
        <w:t xml:space="preserve">Teacher Secondary</w:t>
      </w:r>
      <w:r>
        <w:t xml:space="preserve"> </w:t>
      </w:r>
      <w:r>
        <w:t xml:space="preserve">is evolving, and static training models are no longer sufficient.</w:t>
      </w:r>
    </w:p>
    <w:p>
      <w:pPr>
        <w:numPr>
          <w:ilvl w:val="0"/>
          <w:numId w:val="1001"/>
        </w:numPr>
        <w:pStyle w:val="Compact"/>
      </w:pPr>
      <w:r>
        <w:rPr>
          <w:bCs/>
          <w:b/>
        </w:rPr>
        <w:t xml:space="preserve">Incentivization Structures:</w:t>
      </w:r>
      <w:r>
        <w:t xml:space="preserve"> </w:t>
      </w:r>
      <w:r>
        <w:t xml:space="preserve">Introduce performance-based incentives that reward innovation in teaching methods rather than solely focusing on examination results. This encourages teachers in Riyadh to take risks and experiment with new pedagogical tools.</w:t>
      </w:r>
    </w:p>
    <w:p>
      <w:pPr>
        <w:numPr>
          <w:ilvl w:val="0"/>
          <w:numId w:val="1001"/>
        </w:numPr>
        <w:pStyle w:val="Compact"/>
      </w:pPr>
      <w:r>
        <w:rPr>
          <w:bCs/>
          <w:b/>
        </w:rPr>
        <w:t xml:space="preserve">Mental Health Support for Educators:</w:t>
      </w:r>
      <w:r>
        <w:t xml:space="preserve"> </w:t>
      </w:r>
      <w:r>
        <w:t xml:space="preserve">Recognizing the high-pressure environment of Riyadh’s schools, provide robust mental health resources for teachers to prevent burnout. A supported teacher is better equipped to support students.</w:t>
      </w:r>
    </w:p>
    <w:p>
      <w:pPr>
        <w:numPr>
          <w:ilvl w:val="0"/>
          <w:numId w:val="1001"/>
        </w:numPr>
        <w:pStyle w:val="Compact"/>
      </w:pPr>
      <w:r>
        <w:rPr>
          <w:bCs/>
          <w:b/>
        </w:rPr>
        <w:t xml:space="preserve">Data-Driven Decision Making:</w:t>
      </w:r>
      <w:r>
        <w:t xml:space="preserve"> </w:t>
      </w:r>
      <w:r>
        <w:t xml:space="preserve">Leverage data analytics to identify struggling students early. Teachers should be trained in interpreting data dashboards provided by the Ministry of Education systems, allowing them to tailor interventions specifically for individual learners.</w:t>
      </w:r>
    </w:p>
    <w:bookmarkEnd w:id="29"/>
    <w:bookmarkStart w:id="30" w:name="conclusion"/>
    <w:p>
      <w:pPr>
        <w:pStyle w:val="Heading2"/>
      </w:pPr>
      <w:r>
        <w:t xml:space="preserve">7. Conclusion</w:t>
      </w:r>
    </w:p>
    <w:p>
      <w:pPr>
        <w:pStyle w:val="FirstParagraph"/>
      </w:pPr>
      <w:r>
        <w:t xml:space="preserve">The transformation of secondary education in Saudi Arabia is not merely a policy adjustment; it is a cultural and pedagogical revolution. For</w:t>
      </w:r>
      <w:r>
        <w:t xml:space="preserve"> </w:t>
      </w:r>
      <w:r>
        <w:rPr>
          <w:bCs/>
          <w:b/>
        </w:rPr>
        <w:t xml:space="preserve">Saudi Arabia Riyadh</w:t>
      </w:r>
      <w:r>
        <w:t xml:space="preserve">, the city stands as the vanguard of this change, facing both the pressures of high expectations and the opportunities of technological advancement. The success of this transition hinges entirely on the empowerment and adaptation of the</w:t>
      </w:r>
      <w:r>
        <w:t xml:space="preserve"> </w:t>
      </w:r>
      <w:r>
        <w:rPr>
          <w:bCs/>
          <w:b/>
        </w:rPr>
        <w:t xml:space="preserve">Teacher Secondary</w:t>
      </w:r>
      <w:r>
        <w:t xml:space="preserve">.</w:t>
      </w:r>
    </w:p>
    <w:p>
      <w:pPr>
        <w:pStyle w:val="BodyText"/>
      </w:pPr>
      <w:r>
        <w:t xml:space="preserve">By viewing teachers not just as staff members but as strategic partners in national development, Saudi Arabia can ensure that its youth are prepared for a future economy based on knowledge, innovation, and sustainability. The case study presented here demonstrates that while challenges exist—ranging from technological adoption to pedagogical shifts—they are surmountable through targeted support, cultural sensitivity, and unwavering commitment to educational excellence.</w:t>
      </w:r>
    </w:p>
    <w:p>
      <w:pPr>
        <w:pStyle w:val="BodyText"/>
      </w:pPr>
      <w:r>
        <w:t xml:space="preserve">© 2023 Educational Strategy Review. All rights reserved.</w:t>
      </w:r>
      <w:r>
        <w:br/>
      </w:r>
      <w:r>
        <w:t xml:space="preserve">Prepared for internal distribution within the Riyadh Metropolitan Education Authority.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Education in Saudi Arabia Riyadh</dc:title>
  <dc:creator/>
  <dc:language>en</dc:language>
  <cp:keywords/>
  <dcterms:created xsi:type="dcterms:W3CDTF">2026-07-29T07:35:16Z</dcterms:created>
  <dcterms:modified xsi:type="dcterms:W3CDTF">2026-07-29T07:35:16Z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