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ff1ec38a5943633fa0216b2d162277845156b23"/>
    <w:p>
      <w:pPr>
        <w:pStyle w:val="Heading1"/>
      </w:pPr>
      <w:r>
        <w:t xml:space="preserve">The Secondary Teacher in the Western Cape Context: A Case Study Analysis of</w:t>
      </w:r>
      <w:r>
        <w:t xml:space="preserve"> </w:t>
      </w:r>
      <w:r>
        <w:rPr>
          <w:iCs/>
          <w:i/>
        </w:rPr>
        <w:t xml:space="preserve">South Africa Cape Town</w:t>
      </w:r>
    </w:p>
    <w:p>
      <w:pPr>
        <w:pStyle w:val="FirstParagraph"/>
      </w:pPr>
      <w:r>
        <w:rPr>
          <w:bCs/>
          <w:b/>
        </w:rPr>
        <w:t xml:space="preserve">An In-Depth Examination of Professional Challenges, Pedagogical Adaptations, and Societal Impact within the Urban Educational Landscape</w:t>
      </w:r>
    </w:p>
    <w:bookmarkEnd w:id="20"/>
    <w:bookmarkStart w:id="21" w:name="introduction"/>
    <w:p>
      <w:pPr>
        <w:pStyle w:val="Heading2"/>
      </w:pPr>
      <w:r>
        <w:t xml:space="preserve">Introduction</w:t>
      </w:r>
    </w:p>
    <w:p>
      <w:pPr>
        <w:pStyle w:val="FirstParagraph"/>
      </w:pPr>
      <w:r>
        <w:t xml:space="preserve">The role of a</w:t>
      </w:r>
      <w:r>
        <w:t xml:space="preserve"> </w:t>
      </w:r>
      <w:r>
        <w:rPr>
          <w:iCs/>
          <w:i/>
        </w:rPr>
        <w:t xml:space="preserve">Teacher Secondary</w:t>
      </w:r>
      <w:r>
        <w:t xml:space="preserve">South Africa Cape Town, this profession carries additional weight, requiring educators to navigate complex historical legacies, linguistic diversity, and varying levels socioeconomic access. This case study explores the multifaceted reality of secondary teaching in this specific region, highlighting how</w:t>
      </w:r>
      <w:r>
        <w:t xml:space="preserve"> </w:t>
      </w:r>
      <w:r>
        <w:rPr>
          <w:iCs/>
          <w:i/>
        </w:rPr>
        <w:t xml:space="preserve">South Africa Cape Town serves as both a challenging and vibrant backdrop for professional development and student success. The intersection of urban density with deep-rooted community needs creates a unique environment where the efficacy of a</w:t>
      </w:r>
      <w:r>
        <w:rPr>
          <w:iCs/>
          <w:i/>
        </w:rPr>
        <w:t xml:space="preserve"> </w:t>
      </w:r>
      <w:r>
        <w:rPr>
          <w:iCs/>
          <w:i/>
          <w:iCs/>
          <w:i/>
        </w:rPr>
        <w:t xml:space="preserve">Teacher Secondary</w:t>
      </w:r>
    </w:p>
    <w:p>
      <w:pPr>
        <w:pStyle w:val="BodyText"/>
      </w:pPr>
      <w:r>
        <w:t xml:space="preserve">Cape Town, often described as 'the mother city,' is characterized by its stunning natural beauty juxtaposed against stark socioeconomic inequalities. For the secondary educator, these geographic and social divides are not abstract concepts but daily realities encountered in classrooms ranging from well-resourced suburban schools to under-resourced townships such as Khayelitsha or Athlone. Understanding the specific context of</w:t>
      </w:r>
    </w:p>
    <w:p>
      <w:pPr>
        <w:pStyle w:val="BodyText"/>
      </w:pPr>
      <w:r>
        <w:t xml:space="preserve">South Africa Cape Town is therefore paramount when analyzing the performance, challenges, and resilience of the modern</w:t>
      </w:r>
    </w:p>
    <w:p>
      <w:pPr>
        <w:pStyle w:val="BodyText"/>
      </w:pPr>
      <w:r>
        <w:t xml:space="preserve">Teacher Secondary.</w:t>
      </w:r>
    </w:p>
    <w:bookmarkEnd w:id="21"/>
    <w:bookmarkStart w:id="23" w:name="socio-economic-context"/>
    <w:bookmarkStart w:id="22" w:name="Xbf7b9ec58227301e7faaaf2ff717c3433613f18"/>
    <w:p>
      <w:pPr>
        <w:pStyle w:val="Heading2"/>
      </w:pPr>
      <w:r>
        <w:t xml:space="preserve">The Socio-Economic Context: Navigating Inequality</w:t>
      </w:r>
    </w:p>
    <w:p>
      <w:pPr>
        <w:pStyle w:val="FirstParagraph"/>
      </w:pPr>
      <w:r>
        <w:t xml:space="preserve">In</w:t>
      </w:r>
    </w:p>
    <w:p>
      <w:pPr>
        <w:pStyle w:val="BodyText"/>
      </w:pPr>
      <w:r>
        <w:t xml:space="preserve">South Africa Cape Town, education is viewed as a primary vehicle for social mobility. However, the legacy of apartheid continues to influence school funding, infrastructure, and learner outcomes. A</w:t>
      </w:r>
    </w:p>
    <w:p>
      <w:pPr>
        <w:pStyle w:val="BodyText"/>
      </w:pPr>
      <w:r>
        <w:t xml:space="preserve">Teacher Secondary operating in this environment must be acutely aware of these disparities. In quintile 1-3 schools (quintiles being a system used in South Africa to rank schools based on poverty levels), teachers often face overcrowded classrooms, lack of basic resources such as textbooks or electricity, and learners who may suffer from food insecurity.</w:t>
      </w:r>
    </w:p>
    <w:p>
      <w:pPr>
        <w:pStyle w:val="BodyText"/>
      </w:pPr>
      <w:r>
        <w:t xml:space="preserve">Conversely, in quintile 4-5 schools found in suburbs like Constantia or Bellville, teachers deal with different pressures: high parental expectations, intense competition for university placements (such as those at the University of Cape Town), and a curriculum that often moves at an accelerated pace. The</w:t>
      </w:r>
    </w:p>
    <w:p>
      <w:pPr>
        <w:pStyle w:val="BodyText"/>
      </w:pPr>
      <w:r>
        <w:t xml:space="preserve">Teacher Secondary must therefore possess a high degree of adaptability. They must switch pedagogical strategies depending on whether they are addressing trauma-induced learning barriers or pushing academically gifted students toward excellence. This duality is unique to the</w:t>
      </w:r>
    </w:p>
    <w:p>
      <w:pPr>
        <w:pStyle w:val="BodyText"/>
      </w:pPr>
      <w:r>
        <w:t xml:space="preserve">South Africa Cape Town context, where two worlds exist in close proximity.</w:t>
      </w:r>
    </w:p>
    <w:bookmarkEnd w:id="22"/>
    <w:bookmarkEnd w:id="23"/>
    <w:bookmarkStart w:id="25" w:name="linguistic-diversity"/>
    <w:bookmarkStart w:id="24" w:name="linguistic-diversity-and-language-policy"/>
    <w:p>
      <w:pPr>
        <w:pStyle w:val="Heading2"/>
      </w:pPr>
      <w:r>
        <w:t xml:space="preserve">Linguistic Diversity and Language Policy</w:t>
      </w:r>
    </w:p>
    <w:p>
      <w:pPr>
        <w:pStyle w:val="FirstParagraph"/>
      </w:pPr>
      <w:r>
        <w:t xml:space="preserve">Linguistics plays a critical role in the daily life of a</w:t>
      </w:r>
    </w:p>
    <w:p>
      <w:pPr>
        <w:pStyle w:val="BodyText"/>
      </w:pPr>
      <w:r>
        <w:t xml:space="preserve">Teacher Secondary.</w:t>
      </w:r>
    </w:p>
    <w:p>
      <w:pPr>
        <w:pStyle w:val="BodyText"/>
      </w:pPr>
      <w:r>
        <w:t xml:space="preserve">South Africa Cape Town is home to one of the most linguistically diverse populations in South Africa. While English is often the language of instruction, many learners' home languages are isiXhosa, Afrikaans, or various other indigenous and immigrant languages. The case study reveals that effective teaching requires more than just fluency in these tongues; it requires 'translanguaging' strategies where teachers leverage learners' linguistic resources to enhance comprehension.</w:t>
      </w:r>
    </w:p>
    <w:p>
      <w:pPr>
        <w:pStyle w:val="BodyText"/>
      </w:pPr>
      <w:r>
        <w:t xml:space="preserve">For instance, a</w:t>
      </w:r>
    </w:p>
    <w:p>
      <w:pPr>
        <w:pStyle w:val="BodyText"/>
      </w:pPr>
      <w:r>
        <w:t xml:space="preserve">Teacher Secondary in Science might find that explaining complex concepts becomes easier when initial explanations are given in isiXhosa, followed by a transition to academic English. This approach not only aids cognitive processing but also validates the learners' cultural identity. However, language barriers remain a significant hurdle. Teachers often report spending valuable instructional time clarifying vocabulary and instructions due to the gap between home language and classroom language. In</w:t>
      </w:r>
    </w:p>
    <w:p>
      <w:pPr>
        <w:pStyle w:val="BodyText"/>
      </w:pPr>
      <w:r>
        <w:t xml:space="preserve">South Africa Cape Town, where multilingualism is a norm, the teacher’s ability to code-switch effectively becomes a vital professional competency.</w:t>
      </w:r>
    </w:p>
    <w:bookmarkEnd w:id="24"/>
    <w:bookmarkEnd w:id="25"/>
    <w:bookmarkStart w:id="27" w:name="psychosocial-challenges"/>
    <w:bookmarkStart w:id="26" w:name="X70cf58f013f6ae94eeeb2c741af9fc3f7d55d82"/>
    <w:p>
      <w:pPr>
        <w:pStyle w:val="Heading2"/>
      </w:pPr>
      <w:r>
        <w:t xml:space="preserve">Psychosocial Challenges and Community Integration</w:t>
      </w:r>
    </w:p>
    <w:p>
      <w:pPr>
        <w:pStyle w:val="FirstParagraph"/>
      </w:pPr>
      <w:r>
        <w:t xml:space="preserve">Beyond academics,</w:t>
      </w:r>
    </w:p>
    <w:p>
      <w:pPr>
        <w:pStyle w:val="BodyText"/>
      </w:pPr>
      <w:r>
        <w:t xml:space="preserve">Teacher Secondarys in this region frequently assume roles that extend into social work. Gang violence, substance abuse, and teenage pregnancy are pressing issues affecting learners in various parts of the metro. A teacher cannot effectively teach if a student is traumatized or distracted by external dangers. Consequently, successful educators in</w:t>
      </w:r>
    </w:p>
    <w:p>
      <w:pPr>
        <w:pStyle w:val="BodyText"/>
      </w:pPr>
      <w:r>
        <w:t xml:space="preserve">South Africa Cape Town often build strong relationships with local community organizations, social workers, and parents.</w:t>
      </w:r>
    </w:p>
    <w:p>
      <w:pPr>
        <w:pStyle w:val="BodyText"/>
      </w:pPr>
      <w:r>
        <w:t xml:space="preserve">This case study highlights the importance of pastoral care. Teachers act as mentors and safe havens for many adolescents. The resilience required to maintain emotional well-being while dealing with such heavy responsibilities is substantial. Professional development programs in the Western Cape Department of Education increasingly emphasize trauma-informed teaching practices, acknowledging that mental health support is integral to the job description of a</w:t>
      </w:r>
    </w:p>
    <w:p>
      <w:pPr>
        <w:pStyle w:val="BodyText"/>
      </w:pPr>
      <w:r>
        <w:t xml:space="preserve">Teacher Secondary.</w:t>
      </w:r>
    </w:p>
    <w:bookmarkEnd w:id="26"/>
    <w:bookmarkEnd w:id="27"/>
    <w:bookmarkStart w:id="29" w:name="technological-integration"/>
    <w:bookmarkStart w:id="28" w:name="X76f0935fa34836f482c6daff0e1f99eeece91d8"/>
    <w:p>
      <w:pPr>
        <w:pStyle w:val="Heading2"/>
      </w:pPr>
      <w:r>
        <w:t xml:space="preserve">Technological Integration and Digital Divide</w:t>
      </w:r>
    </w:p>
    <w:p>
      <w:pPr>
        <w:pStyle w:val="FirstParagraph"/>
      </w:pPr>
      <w:r>
        <w:t xml:space="preserve">The push for digital literacy in</w:t>
      </w:r>
    </w:p>
    <w:p>
      <w:pPr>
        <w:pStyle w:val="BodyText"/>
      </w:pPr>
      <w:r>
        <w:t xml:space="preserve">South Africa Cape Town presents both opportunities and obstacles. While many urban schools have integrated tablets and smart boards into learning, connectivity issues persist in poorer areas. A</w:t>
      </w:r>
    </w:p>
    <w:p>
      <w:pPr>
        <w:pStyle w:val="BodyText"/>
      </w:pPr>
      <w:r>
        <w:t xml:space="preserve">Teacher Secondary must be tech-savvy not only to deliver content but to bridge the digital divide for their learners. This may involve creating offline digital resources or advocating for better infrastructure.</w:t>
      </w:r>
    </w:p>
    <w:p>
      <w:pPr>
        <w:pStyle w:val="BodyText"/>
      </w:pPr>
      <w:r>
        <w:t xml:space="preserve">Furthermore, teachers are increasingly expected to guide learners in navigating online safety and ethical digital behavior. The rapid pace of technological change requires continuous upskilling, making professional growth a lifelong commitment for educators in this field.</w:t>
      </w:r>
    </w:p>
    <w:bookmarkEnd w:id="28"/>
    <w:bookmarkEnd w:id="29"/>
    <w:bookmarkStart w:id="30" w:name="conclusion"/>
    <w:p>
      <w:pPr>
        <w:pStyle w:val="Heading2"/>
      </w:pPr>
      <w:r>
        <w:t xml:space="preserve">Conclusion</w:t>
      </w:r>
    </w:p>
    <w:p>
      <w:pPr>
        <w:pStyle w:val="FirstParagraph"/>
      </w:pPr>
      <w:r>
        <w:t xml:space="preserve">In conclusion, the profile of a</w:t>
      </w:r>
    </w:p>
    <w:p>
      <w:pPr>
        <w:pStyle w:val="BodyText"/>
      </w:pPr>
      <w:r>
        <w:t xml:space="preserve">Teacher Secondary in</w:t>
      </w:r>
    </w:p>
    <w:p>
      <w:pPr>
        <w:pStyle w:val="BodyText"/>
      </w:pPr>
      <w:r>
        <w:t xml:space="preserve">South Africa Cape Town is one of profound complexity and resilience. These educators operate at the intersection of history, economics, language, and technology. They are not merely instructors but facilitators of social change, mentors for vulnerable youth, and advocates for equity. The challenges they face are immense, yet their impact is immeasurable. Supporting these professionals through targeted training equitable resource distribution is essential for the future stability and prosperity of the region.</w:t>
      </w:r>
    </w:p>
    <w:p>
      <w:pPr>
        <w:pStyle w:val="BodyText"/>
      </w:pPr>
      <w:r>
        <w:t xml:space="preserve">Ultimately, recognizing the unique context of</w:t>
      </w:r>
    </w:p>
    <w:p>
      <w:pPr>
        <w:pStyle w:val="BodyText"/>
      </w:pPr>
      <w:r>
        <w:t xml:space="preserve">South Africa Cape Town allows us to appreciate the nuanced work of secondary teachers. Their ability to adapt, empathize, and innovate in such a diverse environment sets a benchmark for educational excellence globally. This case study underscores that investing in teaching is investing in the very fabric of society.</w:t>
      </w:r>
    </w:p>
    <w:bookmarkEnd w:id="30"/>
    <w:p>
      <w:pPr>
        <w:pStyle w:val="BodyText"/>
      </w:pPr>
      <w:r>
        <w:t xml:space="preserve">© 2023 Educational Case Studies Series | Focus on</w:t>
      </w:r>
    </w:p>
    <w:p>
      <w:pPr>
        <w:pStyle w:val="BodyText"/>
      </w:pPr>
      <w:r>
        <w:t xml:space="preserve">South Africa Cape Town Teaching Methodologies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South Africa Cape Town</dc:title>
  <dc:creator/>
  <dc:language>en</dc:language>
  <cp:keywords/>
  <dcterms:created xsi:type="dcterms:W3CDTF">2026-07-29T08:01:12Z</dcterms:created>
  <dcterms:modified xsi:type="dcterms:W3CDTF">2026-07-29T08:01:12Z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