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Secondary</w:t>
      </w:r>
      <w:r>
        <w:t xml:space="preserve"> </w:t>
      </w:r>
      <w:r>
        <w:t xml:space="preserve">Teacher</w:t>
      </w:r>
      <w:r>
        <w:t xml:space="preserve"> </w:t>
      </w:r>
      <w:r>
        <w:t xml:space="preserve">Training</w:t>
      </w:r>
      <w:r>
        <w:t xml:space="preserve"> </w:t>
      </w:r>
      <w:r>
        <w:t xml:space="preserve">and</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26" w:name="Xfdc954e755954b2eec76ed4d440be820b2edfbb"/>
    <w:p>
      <w:pPr>
        <w:pStyle w:val="Heading1"/>
      </w:pPr>
      <w:r>
        <w:t xml:space="preserve">Case Study Analysis of Teacher Secondary Education Strategies in the Context of Spain Barcelona</w:t>
      </w:r>
    </w:p>
    <w:p>
      <w:pPr>
        <w:pStyle w:val="FirstParagraph"/>
      </w:pPr>
      <w:r>
        <w:rPr>
          <w:bCs/>
          <w:b/>
        </w:rPr>
        <w:t xml:space="preserve">Date:</w:t>
      </w:r>
      <w:r>
        <w:t xml:space="preserve"> </w:t>
      </w:r>
      <w:r>
        <w:t xml:space="preserve">October 26, 2023</w:t>
      </w:r>
      <w:r>
        <w:br/>
      </w:r>
      <w:r>
        <w:rPr>
          <w:iCs/>
          <w:i/>
          <w:bCs/>
          <w:b/>
          <w:bCs/>
          <w:b/>
          <w:bCs/>
          <w:b/>
          <w:bCs/>
          <w:b/>
        </w:rPr>
        <w:t xml:space="preserve">Status:</w:t>
      </w:r>
      <w:r>
        <w:t xml:space="preserve"> </w:t>
      </w:r>
      <w:r>
        <w:t xml:space="preserve">Final Report</w:t>
      </w:r>
      <w:r>
        <w:br/>
      </w:r>
    </w:p>
    <w:p>
      <w:pPr>
        <w:pStyle w:val="BodyText"/>
      </w:pPr>
      <w:r>
        <w:t xml:space="preserve">Focus Region: Spain Barcelona Metropolitan Area</w:t>
      </w:r>
      <w:r>
        <w:br/>
      </w:r>
    </w:p>
    <w:p>
      <w:pPr>
        <w:pStyle w:val="BodyText"/>
      </w:pPr>
      <w:r>
        <w:t xml:space="preserve">Subject Focus: A comprehensive review of the pedagogical challenges, administrative frameworks, and cultural integration required for effective Teacher Secondary education delivery in one of Europe’s most dynamic educational hubs.</w:t>
      </w:r>
    </w:p>
    <w:bookmarkStart w:id="20" w:name="executive-summary"/>
    <w:p>
      <w:pPr>
        <w:pStyle w:val="Heading2"/>
      </w:pPr>
      <w:r>
        <w:t xml:space="preserve">1. Executive Summary</w:t>
      </w:r>
    </w:p>
    <w:p>
      <w:pPr>
        <w:pStyle w:val="FirstParagraph"/>
      </w:pPr>
      <w:r>
        <w:t xml:space="preserve">The landscape of secondary education in</w:t>
      </w:r>
      <w:r>
        <w:t xml:space="preserve"> </w:t>
      </w:r>
      <w:r>
        <w:rPr>
          <w:iCs/>
          <w:i/>
          <w:bCs/>
          <w:b/>
          <w:bCs/>
          <w:b/>
        </w:rPr>
        <w:t xml:space="preserve">Spain Barcelona</w:t>
      </w:r>
      <w:r>
        <w:rPr>
          <w:bCs/>
          <w:b/>
        </w:rPr>
        <w:t xml:space="preserve"> </w:t>
      </w:r>
      <w:r>
        <w:rPr>
          <w:bCs/>
          <w:b/>
        </w:rPr>
        <w:t xml:space="preserve">is characterized by a unique convergence of rigorous national standards, regional autonomy governed by the Catalan government, and a diverse, multicultural student population. This case study examines the specific role and requirements of the</w:t>
      </w:r>
      <w:r>
        <w:rPr>
          <w:bCs/>
          <w:b/>
        </w:rPr>
        <w:t xml:space="preserve"> </w:t>
      </w:r>
      <w:r>
        <w:rPr>
          <w:iCs/>
          <w:i/>
          <w:bCs/>
          <w:b/>
          <w:bCs/>
          <w:b/>
        </w:rPr>
        <w:t xml:space="preserve">Teacher Secondary</w:t>
      </w:r>
      <w:r>
        <w:rPr>
          <w:bCs/>
          <w:b/>
        </w:rPr>
        <w:t xml:space="preserve"> </w:t>
      </w:r>
      <w:r>
        <w:rPr>
          <w:bCs/>
          <w:b/>
        </w:rPr>
        <w:t xml:space="preserve">professional within this complex ecosystem. The objective is to analyze how modern secondary educators in</w:t>
      </w:r>
      <w:r>
        <w:rPr>
          <w:bCs/>
          <w:b/>
        </w:rPr>
        <w:t xml:space="preserve"> </w:t>
      </w:r>
      <w:r>
        <w:rPr>
          <w:iCs/>
          <w:i/>
          <w:bCs/>
          <w:b/>
          <w:bCs/>
          <w:b/>
        </w:rPr>
        <w:t xml:space="preserve">Spain Barcelona</w:t>
      </w:r>
      <w:r>
        <w:rPr>
          <w:bCs/>
          <w:b/>
          <w:bCs/>
          <w:b/>
        </w:rPr>
        <w:t xml:space="preserve"> </w:t>
      </w:r>
      <w:r>
        <w:rPr>
          <w:bCs/>
          <w:b/>
          <w:bCs/>
          <w:b/>
        </w:rPr>
        <w:t xml:space="preserve">are adapting their methodologies to meet contemporary pedagogical demands while navigating local bureaucratic and cultural nuances. By focusing on the intersection of national policy and local implementation, this document provides a detailed overview of best practices, challenges, and strategic interventions necessary for sustainable educational excellence in this region.</w:t>
      </w:r>
    </w:p>
    <w:bookmarkEnd w:id="20"/>
    <w:bookmarkStart w:id="21" w:name="X7eab5b3c3d03477d5b14a9e2124b1a29286e5a9"/>
    <w:p>
      <w:pPr>
        <w:pStyle w:val="Heading2"/>
      </w:pPr>
      <w:r>
        <w:t xml:space="preserve">2. Contextual Background: The Educational Landscape in Spain Barcelona</w:t>
      </w:r>
    </w:p>
    <w:p>
      <w:pPr>
        <w:pStyle w:val="FirstParagraph"/>
      </w:pPr>
      <w:r>
        <w:t xml:space="preserve">To understand the role of the</w:t>
      </w:r>
      <w:r>
        <w:t xml:space="preserve"> </w:t>
      </w:r>
      <w:r>
        <w:rPr>
          <w:iCs/>
          <w:i/>
          <w:bCs/>
          <w:b/>
        </w:rPr>
        <w:t xml:space="preserve">Teacher Secondary</w:t>
      </w:r>
      <w:r>
        <w:t xml:space="preserve"> </w:t>
      </w:r>
      <w:r>
        <w:t xml:space="preserve">, one must first appreciate the specific environment of</w:t>
      </w:r>
      <w:r>
        <w:t xml:space="preserve"> </w:t>
      </w:r>
      <w:r>
        <w:rPr>
          <w:iCs/>
          <w:i/>
          <w:bCs/>
          <w:b/>
        </w:rPr>
        <w:t xml:space="preserve">Spain Barcelona</w:t>
      </w:r>
      <w:r>
        <w:rPr>
          <w:bCs/>
          <w:b/>
        </w:rPr>
        <w:t xml:space="preserve">. As a major economic and cultural hub within Spain,</w:t>
      </w:r>
      <w:r>
        <w:rPr>
          <w:bCs/>
          <w:b/>
        </w:rPr>
        <w:t xml:space="preserve"> </w:t>
      </w:r>
      <w:r>
        <w:rPr>
          <w:iCs/>
          <w:i/>
          <w:bCs/>
          <w:b/>
          <w:bCs/>
          <w:b/>
        </w:rPr>
        <w:t xml:space="preserve">Spain Barcelona</w:t>
      </w:r>
      <w:r>
        <w:rPr>
          <w:bCs/>
          <w:b/>
          <w:bCs/>
          <w:b/>
        </w:rPr>
        <w:t xml:space="preserve"> </w:t>
      </w:r>
      <w:r>
        <w:rPr>
          <w:bCs/>
          <w:b/>
          <w:bCs/>
          <w:b/>
        </w:rPr>
        <w:t xml:space="preserve">attracts a highly mobile population, resulting in classrooms that are increasingly heterogeneous. The educational framework is governed by national laws such as LOMLOE (Organic Law for the Improvement of Quality of Education), which emphasizes inclusive education, digital competence, and personal development. However, the Generalitat de Catalunya exercises significant autonomy over curriculum implementation and language policy.</w:t>
      </w:r>
      <w:r>
        <w:rPr>
          <w:bCs/>
          <w:b/>
          <w:bCs/>
          <w:b/>
        </w:rPr>
        <w:t xml:space="preserve"> </w:t>
      </w:r>
      <w:r>
        <w:rPr>
          <w:bCs/>
          <w:b/>
          <w:bCs/>
          <w:b/>
        </w:rPr>
        <w:t xml:space="preserve">In</w:t>
      </w:r>
      <w:r>
        <w:rPr>
          <w:bCs/>
          <w:b/>
          <w:bCs/>
          <w:b/>
        </w:rPr>
        <w:t xml:space="preserve"> </w:t>
      </w:r>
      <w:r>
        <w:rPr>
          <w:iCs/>
          <w:i/>
          <w:bCs/>
          <w:b/>
          <w:bCs/>
          <w:b/>
          <w:bCs/>
          <w:b/>
        </w:rPr>
        <w:t xml:space="preserve">Spain Barcelona</w:t>
      </w:r>
      <w:r>
        <w:rPr>
          <w:bCs/>
          <w:b/>
          <w:bCs/>
          <w:b/>
          <w:bCs/>
          <w:b/>
        </w:rPr>
        <w:t xml:space="preserve">, bilingualism is a cornerstone of the secondary education system. Students are typically taught in both Catalan and Spanish, with English serving as a crucial third language for international competitiveness. This linguistic duality requires every</w:t>
      </w:r>
      <w:r>
        <w:rPr>
          <w:bCs/>
          <w:b/>
          <w:bCs/>
          <w:b/>
          <w:bCs/>
          <w:b/>
        </w:rPr>
        <w:t xml:space="preserve"> </w:t>
      </w:r>
      <w:r>
        <w:rPr>
          <w:iCs/>
          <w:i/>
          <w:bCs/>
          <w:b/>
          <w:bCs/>
          <w:b/>
          <w:bCs/>
          <w:b/>
          <w:bCs/>
          <w:b/>
        </w:rPr>
        <w:t xml:space="preserve">Teacher Secondary</w:t>
      </w:r>
      <w:r>
        <w:rPr>
          <w:bCs/>
          <w:b/>
          <w:bCs/>
          <w:b/>
          <w:bCs/>
          <w:b/>
        </w:rPr>
        <w:t xml:space="preserve"> </w:t>
      </w:r>
      <w:r>
        <w:rPr>
          <w:bCs/>
          <w:b/>
          <w:bCs/>
          <w:b/>
          <w:bCs/>
          <w:b/>
        </w:rPr>
        <w:t xml:space="preserve">to possess not only subject-specific expertise but also high levels of proficiency in multiple languages and cultural sensitivity. The urban density of</w:t>
      </w:r>
      <w:r>
        <w:rPr>
          <w:bCs/>
          <w:b/>
          <w:bCs/>
          <w:b/>
          <w:bCs/>
          <w:b/>
        </w:rPr>
        <w:t xml:space="preserve"> </w:t>
      </w:r>
      <w:r>
        <w:rPr>
          <w:iCs/>
          <w:i/>
          <w:bCs/>
          <w:b/>
          <w:bCs/>
          <w:b/>
          <w:bCs/>
          <w:b/>
          <w:bCs/>
          <w:b/>
        </w:rPr>
        <w:t xml:space="preserve">Spain Barcelona</w:t>
      </w:r>
      <w:r>
        <w:rPr>
          <w:bCs/>
          <w:b/>
          <w:bCs/>
          <w:b/>
          <w:bCs/>
          <w:b/>
          <w:bCs/>
          <w:b/>
        </w:rPr>
        <w:t xml:space="preserve"> </w:t>
      </w:r>
      <w:r>
        <w:rPr>
          <w:bCs/>
          <w:b/>
          <w:bCs/>
          <w:b/>
          <w:bCs/>
          <w:b/>
          <w:bCs/>
          <w:b/>
        </w:rPr>
        <w:t xml:space="preserve">further exacerbates socio-economic disparities, meaning teachers must be adept at addressing varying levels of student readiness and access to resources.</w:t>
      </w:r>
    </w:p>
    <w:bookmarkEnd w:id="21"/>
    <w:bookmarkStart w:id="22" w:name="Xbfcdb1dd79b44512e43d783f2fb3982f8dfd46d"/>
    <w:p>
      <w:pPr>
        <w:pStyle w:val="Heading2"/>
      </w:pPr>
      <w:r>
        <w:t xml:space="preserve">3. The Profile of the Modern Teacher Secondary</w:t>
      </w:r>
    </w:p>
    <w:p>
      <w:pPr>
        <w:pStyle w:val="FirstParagraph"/>
      </w:pPr>
      <w:r>
        <w:t xml:space="preserve">The definition of a</w:t>
      </w:r>
      <w:r>
        <w:t xml:space="preserve"> </w:t>
      </w:r>
      <w:r>
        <w:rPr>
          <w:iCs/>
          <w:i/>
          <w:bCs/>
          <w:b/>
        </w:rPr>
        <w:t xml:space="preserve">Teacher Secondary</w:t>
      </w:r>
      <w:r>
        <w:t xml:space="preserve"> </w:t>
      </w:r>
      <w:r>
        <w:t xml:space="preserve">in this context has evolved significantly over the last decade. No longer viewed merely as a transmitter of knowledge, the modern educator in</w:t>
      </w:r>
      <w:r>
        <w:t xml:space="preserve"> </w:t>
      </w:r>
      <w:r>
        <w:rPr>
          <w:iCs/>
          <w:i/>
          <w:bCs/>
          <w:b/>
        </w:rPr>
        <w:t xml:space="preserve">Spain Barcelona</w:t>
      </w:r>
      <w:r>
        <w:rPr>
          <w:bCs/>
          <w:b/>
        </w:rPr>
        <w:t xml:space="preserve"> </w:t>
      </w:r>
      <w:r>
        <w:rPr>
          <w:bCs/>
          <w:b/>
        </w:rPr>
        <w:t xml:space="preserve">is expected to be a facilitator of critical thinking, an emotional support system, and a manager of digital learning environments.</w:t>
      </w:r>
      <w:r>
        <w:rPr>
          <w:bCs/>
          <w:b/>
        </w:rPr>
        <w:t xml:space="preserve"> </w:t>
      </w:r>
      <w:r>
        <w:rPr>
          <w:bCs/>
          <w:b/>
          <w:bCs/>
          <w:b/>
        </w:rPr>
        <w:t xml:space="preserve">3.1 Professional Competencies</w:t>
      </w:r>
      <w:r>
        <w:br/>
      </w:r>
      <w:r>
        <w:rPr>
          <w:bCs/>
          <w:b/>
        </w:rPr>
        <w:t xml:space="preserve">A successful</w:t>
      </w:r>
      <w:r>
        <w:rPr>
          <w:bCs/>
          <w:b/>
        </w:rPr>
        <w:t xml:space="preserve"> </w:t>
      </w:r>
      <w:r>
        <w:rPr>
          <w:iCs/>
          <w:i/>
          <w:bCs/>
          <w:b/>
          <w:bCs/>
          <w:b/>
        </w:rPr>
        <w:t xml:space="preserve">Teacher Secondary</w:t>
      </w:r>
      <w:r>
        <w:rPr>
          <w:bCs/>
          <w:b/>
        </w:rPr>
        <w:t xml:space="preserve"> </w:t>
      </w:r>
      <w:r>
        <w:rPr>
          <w:bCs/>
          <w:b/>
        </w:rPr>
        <w:t xml:space="preserve">in this region must demonstrate competencies across several domains:</w:t>
      </w:r>
    </w:p>
    <w:p>
      <w:pPr>
        <w:numPr>
          <w:ilvl w:val="0"/>
          <w:numId w:val="1001"/>
        </w:numPr>
        <w:pStyle w:val="Compact"/>
      </w:pPr>
      <w:r>
        <w:rPr>
          <w:bCs/>
          <w:b/>
        </w:rPr>
        <w:t xml:space="preserve">Pedagogical Adaptation:</w:t>
      </w:r>
      <w:r>
        <w:t xml:space="preserve"> </w:t>
      </w:r>
      <w:r>
        <w:t xml:space="preserve">The ability to tailor lesson plans to accommodate students with diverse learning needs, including those with special educational requirements.</w:t>
      </w:r>
    </w:p>
    <w:p>
      <w:pPr>
        <w:numPr>
          <w:ilvl w:val="0"/>
          <w:numId w:val="1001"/>
        </w:numPr>
        <w:pStyle w:val="Compact"/>
      </w:pPr>
      <w:r>
        <w:rPr>
          <w:bCs/>
          <w:b/>
        </w:rPr>
        <w:t xml:space="preserve">Digital Literacy:</w:t>
      </w:r>
      <w:r>
        <w:t xml:space="preserve"> </w:t>
      </w:r>
      <w:r>
        <w:t xml:space="preserve">Proficiency in utilizing digital platforms (such as Xeitu or Google Classroom) which are widely adopted in schools across</w:t>
      </w:r>
    </w:p>
    <w:p>
      <w:pPr>
        <w:numPr>
          <w:ilvl w:val="0"/>
          <w:numId w:val="1000"/>
        </w:numPr>
        <w:pStyle w:val="Compact"/>
      </w:pPr>
      <w:r>
        <w:rPr>
          <w:iCs/>
          <w:i/>
        </w:rPr>
        <w:t xml:space="preserve">Spain Barcelona</w:t>
      </w:r>
      <w:r>
        <w:t xml:space="preserve"> </w:t>
      </w:r>
      <w:r>
        <w:t xml:space="preserve">to streamline communication and assignment submission.</w:t>
      </w:r>
    </w:p>
    <w:p>
      <w:pPr>
        <w:numPr>
          <w:ilvl w:val="0"/>
          <w:numId w:val="1001"/>
        </w:numPr>
        <w:pStyle w:val="Compact"/>
      </w:pPr>
      <w:r>
        <w:rPr>
          <w:bCs/>
          <w:b/>
        </w:rPr>
        <w:t xml:space="preserve">Cultural Intelligence:</w:t>
      </w:r>
      <w:r>
        <w:t xml:space="preserve"> </w:t>
      </w:r>
      <w:r>
        <w:t xml:space="preserve">Given the international nature of</w:t>
      </w:r>
    </w:p>
    <w:p>
      <w:pPr>
        <w:numPr>
          <w:ilvl w:val="0"/>
          <w:numId w:val="1000"/>
        </w:numPr>
        <w:pStyle w:val="Compact"/>
      </w:pPr>
      <w:r>
        <w:rPr>
          <w:iCs/>
          <w:i/>
        </w:rPr>
        <w:t xml:space="preserve">Spain Barcelona</w:t>
      </w:r>
      <w:r>
        <w:t xml:space="preserve">, teachers must navigate cultural differences among students from various backgrounds, fostering an inclusive classroom climate.</w:t>
      </w:r>
    </w:p>
    <w:p>
      <w:pPr>
        <w:pStyle w:val="FirstParagraph"/>
      </w:pPr>
      <w:r>
        <w:rPr>
          <w:bCs/>
          <w:b/>
        </w:rPr>
        <w:t xml:space="preserve">3.2 Emotional Resilience and Support</w:t>
      </w:r>
      <w:r>
        <w:br/>
      </w:r>
      <w:r>
        <w:t xml:space="preserve">Post-pandemic effects have been particularly acute in secondary schools within</w:t>
      </w:r>
      <w:r>
        <w:t xml:space="preserve"> </w:t>
      </w:r>
      <w:r>
        <w:rPr>
          <w:iCs/>
          <w:i/>
          <w:bCs/>
          <w:b/>
        </w:rPr>
        <w:t xml:space="preserve">Spain Barcelona</w:t>
      </w:r>
      <w:r>
        <w:rPr>
          <w:bCs/>
          <w:b/>
        </w:rPr>
        <w:t xml:space="preserve">. Many students exhibit signs of anxiety, disengagement, or social difficulties. Consequently, the role of the</w:t>
      </w:r>
      <w:r>
        <w:rPr>
          <w:bCs/>
          <w:b/>
        </w:rPr>
        <w:t xml:space="preserve"> </w:t>
      </w:r>
      <w:r>
        <w:rPr>
          <w:iCs/>
          <w:i/>
          <w:bCs/>
          <w:b/>
          <w:bCs/>
          <w:b/>
        </w:rPr>
        <w:t xml:space="preserve">Teacher Secondary</w:t>
      </w:r>
      <w:r>
        <w:rPr>
          <w:bCs/>
          <w:b/>
        </w:rPr>
        <w:t xml:space="preserve"> </w:t>
      </w:r>
      <w:r>
        <w:rPr>
          <w:bCs/>
          <w:b/>
        </w:rPr>
        <w:t xml:space="preserve">now includes significant pastoral care duties. Schools are increasingly reliant on teachers to identify early warning signs of mental health struggles and coordinate with school psychologists and social workers.</w:t>
      </w:r>
    </w:p>
    <w:bookmarkEnd w:id="22"/>
    <w:bookmarkStart w:id="23" w:name="challenges-and-obstacles"/>
    <w:p>
      <w:pPr>
        <w:pStyle w:val="Heading2"/>
      </w:pPr>
      <w:r>
        <w:t xml:space="preserve">4. Challenges and Obstacles</w:t>
      </w:r>
    </w:p>
    <w:p>
      <w:pPr>
        <w:pStyle w:val="FirstParagraph"/>
      </w:pPr>
      <w:r>
        <w:t xml:space="preserve">Despite robust funding initiatives, several systemic challenges persist for the</w:t>
      </w:r>
      <w:r>
        <w:t xml:space="preserve"> </w:t>
      </w:r>
      <w:r>
        <w:rPr>
          <w:iCs/>
          <w:i/>
          <w:bCs/>
          <w:b/>
        </w:rPr>
        <w:t xml:space="preserve">Teacher Secondary</w:t>
      </w:r>
      <w:r>
        <w:t xml:space="preserve"> </w:t>
      </w:r>
      <w:r>
        <w:t xml:space="preserve">operating in</w:t>
      </w:r>
      <w:r>
        <w:t xml:space="preserve"> </w:t>
      </w:r>
      <w:r>
        <w:rPr>
          <w:iCs/>
          <w:i/>
          <w:bCs/>
          <w:b/>
        </w:rPr>
        <w:t xml:space="preserve">Spain Barcelona</w:t>
      </w:r>
      <w:r>
        <w:rPr>
          <w:bCs/>
          <w:b/>
        </w:rPr>
        <w:t xml:space="preserve">.</w:t>
      </w:r>
      <w:r>
        <w:rPr>
          <w:bCs/>
          <w:b/>
        </w:rPr>
        <w:t xml:space="preserve"> </w:t>
      </w:r>
      <w:r>
        <w:rPr>
          <w:bCs/>
          <w:b/>
          <w:bCs/>
          <w:b/>
        </w:rPr>
        <w:t xml:space="preserve">4.1 Administrative Burden</w:t>
      </w:r>
      <w:r>
        <w:br/>
      </w:r>
      <w:r>
        <w:rPr>
          <w:bCs/>
          <w:b/>
        </w:rPr>
        <w:t xml:space="preserve">Teachers frequently report that excessive administrative paperwork detracts from direct instruction time. The requirement to document individualized learning plans, behavioral incidents, and attendance records can be overwhelming. In the busy urban context of</w:t>
      </w:r>
      <w:r>
        <w:rPr>
          <w:bCs/>
          <w:b/>
        </w:rPr>
        <w:t xml:space="preserve"> </w:t>
      </w:r>
      <w:r>
        <w:rPr>
          <w:iCs/>
          <w:i/>
          <w:bCs/>
          <w:b/>
          <w:bCs/>
          <w:b/>
        </w:rPr>
        <w:t xml:space="preserve">Spain Barcelona</w:t>
      </w:r>
      <w:r>
        <w:rPr>
          <w:bCs/>
          <w:b/>
          <w:bCs/>
          <w:b/>
        </w:rPr>
        <w:t xml:space="preserve">, where school sizes can vary drastically from small neighborhood institutes to large comprehensive centers, this burden is often exacerbated by high student-to-teacher ratios in core subjects.</w:t>
      </w:r>
      <w:r>
        <w:rPr>
          <w:bCs/>
          <w:b/>
          <w:bCs/>
          <w:b/>
        </w:rPr>
        <w:t xml:space="preserve"> </w:t>
      </w:r>
      <w:r>
        <w:rPr>
          <w:bCs/>
          <w:b/>
          <w:bCs/>
          <w:b/>
          <w:bCs/>
          <w:b/>
        </w:rPr>
        <w:t xml:space="preserve">4.2 Resource Disparities</w:t>
      </w:r>
      <w:r>
        <w:br/>
      </w:r>
      <w:r>
        <w:rPr>
          <w:bCs/>
          <w:b/>
          <w:bCs/>
          <w:b/>
        </w:rPr>
        <w:t xml:space="preserve">While</w:t>
      </w:r>
      <w:r>
        <w:rPr>
          <w:bCs/>
          <w:b/>
          <w:bCs/>
          <w:b/>
        </w:rPr>
        <w:t xml:space="preserve"> </w:t>
      </w:r>
      <w:r>
        <w:rPr>
          <w:iCs/>
          <w:i/>
          <w:bCs/>
          <w:b/>
          <w:bCs/>
          <w:b/>
          <w:bCs/>
          <w:b/>
        </w:rPr>
        <w:t xml:space="preserve">Spain Barcelona</w:t>
      </w:r>
      <w:r>
        <w:rPr>
          <w:bCs/>
          <w:b/>
          <w:bCs/>
          <w:b/>
          <w:bCs/>
          <w:b/>
        </w:rPr>
        <w:t xml:space="preserve"> </w:t>
      </w:r>
      <w:r>
        <w:rPr>
          <w:bCs/>
          <w:b/>
          <w:bCs/>
          <w:b/>
          <w:bCs/>
          <w:b/>
        </w:rPr>
        <w:t xml:space="preserve">as a city boasts prestigious institutions, there is a marked disparity between schools in affluent districts (such as Sarrià-Sant Gervasi) and those in more marginalized areas (such as Nou Barris or Sant Andreu). A</w:t>
      </w:r>
      <w:r>
        <w:rPr>
          <w:bCs/>
          <w:b/>
          <w:bCs/>
          <w:b/>
          <w:bCs/>
          <w:b/>
        </w:rPr>
        <w:t xml:space="preserve"> </w:t>
      </w:r>
      <w:r>
        <w:rPr>
          <w:iCs/>
          <w:i/>
          <w:bCs/>
          <w:b/>
          <w:bCs/>
          <w:b/>
          <w:bCs/>
          <w:b/>
          <w:bCs/>
          <w:b/>
        </w:rPr>
        <w:t xml:space="preserve">Teacher Secondary</w:t>
      </w:r>
      <w:r>
        <w:rPr>
          <w:bCs/>
          <w:b/>
          <w:bCs/>
          <w:b/>
          <w:bCs/>
          <w:b/>
        </w:rPr>
        <w:t xml:space="preserve"> </w:t>
      </w:r>
      <w:r>
        <w:rPr>
          <w:bCs/>
          <w:b/>
          <w:bCs/>
          <w:b/>
          <w:bCs/>
          <w:b/>
        </w:rPr>
        <w:t xml:space="preserve">working in an under-resourced school may face challenges such as outdated technology, larger class sizes, and a higher proportion of students requiring language support. This inequity requires educators to be highly resourceful and often to procure materials out-of-pocket or seek external funding.</w:t>
      </w:r>
      <w:r>
        <w:rPr>
          <w:bCs/>
          <w:b/>
          <w:bCs/>
          <w:b/>
          <w:bCs/>
          <w:b/>
        </w:rPr>
        <w:t xml:space="preserve"> </w:t>
      </w:r>
      <w:r>
        <w:rPr>
          <w:bCs/>
          <w:b/>
          <w:bCs/>
          <w:b/>
          <w:bCs/>
          <w:b/>
          <w:bCs/>
          <w:b/>
        </w:rPr>
        <w:t xml:space="preserve">4.3 Language Policy Tensions</w:t>
      </w:r>
      <w:r>
        <w:br/>
      </w:r>
      <w:r>
        <w:rPr>
          <w:bCs/>
          <w:b/>
          <w:bCs/>
          <w:b/>
          <w:bCs/>
          <w:b/>
        </w:rPr>
        <w:t xml:space="preserve">The bilingual model in</w:t>
      </w:r>
      <w:r>
        <w:rPr>
          <w:bCs/>
          <w:b/>
          <w:bCs/>
          <w:b/>
          <w:bCs/>
          <w:b/>
        </w:rPr>
        <w:t xml:space="preserve"> </w:t>
      </w:r>
      <w:r>
        <w:rPr>
          <w:iCs/>
          <w:i/>
          <w:bCs/>
          <w:b/>
          <w:bCs/>
          <w:b/>
          <w:bCs/>
          <w:b/>
          <w:bCs/>
          <w:b/>
        </w:rPr>
        <w:t xml:space="preserve">Spain Barcelona</w:t>
      </w:r>
      <w:r>
        <w:rPr>
          <w:bCs/>
          <w:b/>
          <w:bCs/>
          <w:b/>
          <w:bCs/>
          <w:b/>
          <w:bCs/>
          <w:b/>
        </w:rPr>
        <w:t xml:space="preserve"> </w:t>
      </w:r>
      <w:r>
        <w:rPr>
          <w:bCs/>
          <w:b/>
          <w:bCs/>
          <w:b/>
          <w:bCs/>
          <w:b/>
          <w:bCs/>
          <w:b/>
        </w:rPr>
        <w:t xml:space="preserve">can sometimes lead to tension among parents and staff regarding the allocation of instructional time between Catalan, Spanish, and English.</w:t>
      </w:r>
      <w:r>
        <w:rPr>
          <w:bCs/>
          <w:b/>
          <w:bCs/>
          <w:b/>
          <w:bCs/>
          <w:b/>
          <w:bCs/>
          <w:b/>
        </w:rPr>
        <w:t xml:space="preserve"> </w:t>
      </w:r>
      <w:r>
        <w:rPr>
          <w:iCs/>
          <w:i/>
          <w:bCs/>
          <w:b/>
          <w:bCs/>
          <w:b/>
          <w:bCs/>
          <w:b/>
          <w:bCs/>
          <w:b/>
          <w:bCs/>
          <w:b/>
        </w:rPr>
        <w:t xml:space="preserve">Teacher Secondary</w:t>
      </w:r>
      <w:r>
        <w:rPr>
          <w:bCs/>
          <w:b/>
          <w:bCs/>
          <w:b/>
          <w:bCs/>
          <w:b/>
          <w:bCs/>
          <w:b/>
        </w:rPr>
        <w:t xml:space="preserve"> </w:t>
      </w:r>
      <w:r>
        <w:rPr>
          <w:bCs/>
          <w:b/>
          <w:bCs/>
          <w:b/>
          <w:bCs/>
          <w:b/>
          <w:bCs/>
          <w:b/>
        </w:rPr>
        <w:t xml:space="preserve">professionals must navigate these political sensitivities carefully, ensuring that linguistic policies are implemented fairly without compromising educational quality or student comfort.</w:t>
      </w:r>
    </w:p>
    <w:bookmarkEnd w:id="23"/>
    <w:bookmarkStart w:id="24" w:name="X3bb64a57c02b6fd43342e9314956a33a01a017d"/>
    <w:p>
      <w:pPr>
        <w:pStyle w:val="Heading2"/>
      </w:pPr>
      <w:r>
        <w:t xml:space="preserve">5. Strategic Interventions and Best Practices</w:t>
      </w:r>
    </w:p>
    <w:p>
      <w:pPr>
        <w:pStyle w:val="FirstParagraph"/>
      </w:pPr>
      <w:r>
        <w:t xml:space="preserve">To address these challenges, several strategic initiatives have been deployed by educational authorities and local school networks in</w:t>
      </w:r>
      <w:r>
        <w:t xml:space="preserve"> </w:t>
      </w:r>
      <w:r>
        <w:rPr>
          <w:iCs/>
          <w:i/>
          <w:bCs/>
          <w:b/>
        </w:rPr>
        <w:t xml:space="preserve">Spain Barcelona</w:t>
      </w:r>
      <w:r>
        <w:rPr>
          <w:bCs/>
          <w:b/>
        </w:rPr>
        <w:t xml:space="preserve">.</w:t>
      </w:r>
      <w:r>
        <w:rPr>
          <w:bCs/>
          <w:b/>
        </w:rPr>
        <w:t xml:space="preserve"> </w:t>
      </w:r>
      <w:r>
        <w:rPr>
          <w:bCs/>
          <w:b/>
          <w:bCs/>
          <w:b/>
        </w:rPr>
        <w:t xml:space="preserve">5.1 Collaborative Professional Development</w:t>
      </w:r>
      <w:r>
        <w:br/>
      </w:r>
      <w:r>
        <w:rPr>
          <w:bCs/>
          <w:b/>
        </w:rPr>
        <w:t xml:space="preserve">Schools in</w:t>
      </w:r>
      <w:r>
        <w:rPr>
          <w:bCs/>
          <w:b/>
        </w:rPr>
        <w:t xml:space="preserve"> </w:t>
      </w:r>
      <w:r>
        <w:rPr>
          <w:iCs/>
          <w:i/>
          <w:bCs/>
          <w:b/>
          <w:bCs/>
          <w:b/>
        </w:rPr>
        <w:t xml:space="preserve">Spain Barcelona</w:t>
      </w:r>
      <w:r>
        <w:rPr>
          <w:bCs/>
          <w:b/>
          <w:bCs/>
          <w:b/>
        </w:rPr>
        <w:t xml:space="preserve"> </w:t>
      </w:r>
      <w:r>
        <w:rPr>
          <w:bCs/>
          <w:b/>
          <w:bCs/>
          <w:b/>
        </w:rPr>
        <w:t xml:space="preserve">are increasingly adopting peer-coaching models where experienced</w:t>
      </w:r>
      <w:r>
        <w:rPr>
          <w:bCs/>
          <w:b/>
          <w:bCs/>
          <w:b/>
        </w:rPr>
        <w:t xml:space="preserve"> </w:t>
      </w:r>
      <w:r>
        <w:rPr>
          <w:iCs/>
          <w:i/>
          <w:bCs/>
          <w:b/>
          <w:bCs/>
          <w:b/>
          <w:bCs/>
          <w:b/>
        </w:rPr>
        <w:t xml:space="preserve">Teacher Secondary</w:t>
      </w:r>
      <w:r>
        <w:rPr>
          <w:bCs/>
          <w:b/>
          <w:bCs/>
          <w:b/>
        </w:rPr>
        <w:t xml:space="preserve"> </w:t>
      </w:r>
      <w:r>
        <w:rPr>
          <w:bCs/>
          <w:b/>
          <w:bCs/>
          <w:b/>
        </w:rPr>
        <w:t xml:space="preserve">educators mentor newer staff. These collaborative networks allow for the sharing of best practices regarding classroom management and bilingual instruction. Regular workshops focused on digital tool integration have also proven effective in reducing administrative friction.</w:t>
      </w:r>
      <w:r>
        <w:rPr>
          <w:bCs/>
          <w:b/>
          <w:bCs/>
          <w:b/>
        </w:rPr>
        <w:t xml:space="preserve"> </w:t>
      </w:r>
      <w:r>
        <w:rPr>
          <w:bCs/>
          <w:b/>
          <w:bCs/>
          <w:b/>
          <w:bCs/>
          <w:b/>
        </w:rPr>
        <w:t xml:space="preserve">5.2 Community Engagement Programs</w:t>
      </w:r>
      <w:r>
        <w:br/>
      </w:r>
      <w:r>
        <w:rPr>
          <w:bCs/>
          <w:b/>
          <w:bCs/>
          <w:b/>
        </w:rPr>
        <w:t xml:space="preserve">Recognizing that education does not happen in a vacuum, many secondary institutions in</w:t>
      </w:r>
      <w:r>
        <w:rPr>
          <w:bCs/>
          <w:b/>
          <w:bCs/>
          <w:b/>
        </w:rPr>
        <w:t xml:space="preserve"> </w:t>
      </w:r>
      <w:r>
        <w:rPr>
          <w:iCs/>
          <w:i/>
          <w:bCs/>
          <w:b/>
          <w:bCs/>
          <w:b/>
          <w:bCs/>
          <w:b/>
        </w:rPr>
        <w:t xml:space="preserve">Spain Barcelona</w:t>
      </w:r>
      <w:r>
        <w:rPr>
          <w:bCs/>
          <w:b/>
          <w:bCs/>
          <w:b/>
          <w:bCs/>
          <w:b/>
        </w:rPr>
        <w:t xml:space="preserve"> </w:t>
      </w:r>
      <w:r>
        <w:rPr>
          <w:bCs/>
          <w:b/>
          <w:bCs/>
          <w:b/>
          <w:bCs/>
          <w:b/>
        </w:rPr>
        <w:t xml:space="preserve">have launched community engagement programs. These initiatives involve parents, local businesses, and cultural organizations in the educational process. For the</w:t>
      </w:r>
      <w:r>
        <w:rPr>
          <w:bCs/>
          <w:b/>
          <w:bCs/>
          <w:b/>
          <w:bCs/>
          <w:b/>
        </w:rPr>
        <w:t xml:space="preserve"> </w:t>
      </w:r>
      <w:r>
        <w:rPr>
          <w:iCs/>
          <w:i/>
          <w:bCs/>
          <w:b/>
          <w:bCs/>
          <w:b/>
          <w:bCs/>
          <w:b/>
          <w:bCs/>
          <w:b/>
        </w:rPr>
        <w:t xml:space="preserve">Teacher Secondary</w:t>
      </w:r>
      <w:r>
        <w:rPr>
          <w:bCs/>
          <w:b/>
          <w:bCs/>
          <w:b/>
          <w:bCs/>
          <w:b/>
        </w:rPr>
        <w:t xml:space="preserve"> </w:t>
      </w:r>
      <w:r>
        <w:rPr>
          <w:bCs/>
          <w:b/>
          <w:bCs/>
          <w:b/>
          <w:bCs/>
          <w:b/>
        </w:rPr>
        <w:t xml:space="preserve">, this creates a supportive ecosystem that extends beyond the classroom walls, providing students with real-world connections and mentorship opportunities.</w:t>
      </w:r>
      <w:r>
        <w:rPr>
          <w:bCs/>
          <w:b/>
          <w:bCs/>
          <w:b/>
          <w:bCs/>
          <w:b/>
        </w:rPr>
        <w:t xml:space="preserve"> </w:t>
      </w:r>
      <w:r>
        <w:rPr>
          <w:bCs/>
          <w:b/>
          <w:bCs/>
          <w:b/>
          <w:bCs/>
          <w:b/>
          <w:bCs/>
          <w:b/>
        </w:rPr>
        <w:t xml:space="preserve">5.3 Focus on Well-being Metrics</w:t>
      </w:r>
      <w:r>
        <w:br/>
      </w:r>
      <w:r>
        <w:rPr>
          <w:bCs/>
          <w:b/>
          <w:bCs/>
          <w:b/>
          <w:bCs/>
          <w:b/>
        </w:rPr>
        <w:t xml:space="preserve">Schools are beginning to track student well-being as a key performance indicator alongside academic grades. This shift encourages</w:t>
      </w:r>
      <w:r>
        <w:rPr>
          <w:bCs/>
          <w:b/>
          <w:bCs/>
          <w:b/>
          <w:bCs/>
          <w:b/>
        </w:rPr>
        <w:t xml:space="preserve"> </w:t>
      </w:r>
      <w:r>
        <w:rPr>
          <w:iCs/>
          <w:i/>
          <w:bCs/>
          <w:b/>
          <w:bCs/>
          <w:b/>
          <w:bCs/>
          <w:b/>
          <w:bCs/>
          <w:b/>
        </w:rPr>
        <w:t xml:space="preserve">Teacher Secondary</w:t>
      </w:r>
      <w:r>
        <w:rPr>
          <w:bCs/>
          <w:b/>
          <w:bCs/>
          <w:b/>
          <w:bCs/>
          <w:b/>
        </w:rPr>
        <w:t xml:space="preserve"> </w:t>
      </w:r>
      <w:r>
        <w:rPr>
          <w:bCs/>
          <w:b/>
          <w:bCs/>
          <w:b/>
          <w:bCs/>
          <w:b/>
        </w:rPr>
        <w:t xml:space="preserve">professionals to prioritize social-emotional learning (SEL) curricula. In</w:t>
      </w:r>
      <w:r>
        <w:rPr>
          <w:bCs/>
          <w:b/>
          <w:bCs/>
          <w:b/>
          <w:bCs/>
          <w:b/>
        </w:rPr>
        <w:t xml:space="preserve"> </w:t>
      </w:r>
      <w:r>
        <w:rPr>
          <w:iCs/>
          <w:i/>
          <w:bCs/>
          <w:b/>
          <w:bCs/>
          <w:b/>
          <w:bCs/>
          <w:b/>
          <w:bCs/>
          <w:b/>
        </w:rPr>
        <w:t xml:space="preserve">Spain Barcelona</w:t>
      </w:r>
      <w:r>
        <w:rPr>
          <w:bCs/>
          <w:b/>
          <w:bCs/>
          <w:b/>
          <w:bCs/>
          <w:b/>
          <w:bCs/>
          <w:b/>
        </w:rPr>
        <w:t xml:space="preserve">, pilot programs have introduced mindfulness sessions and peer-support groups led by trained teachers, which have shown promising results in reducing behavioral issues and improving student engagement.</w:t>
      </w:r>
    </w:p>
    <w:bookmarkEnd w:id="24"/>
    <w:bookmarkStart w:id="25" w:name="conclusion"/>
    <w:p>
      <w:pPr>
        <w:pStyle w:val="Heading2"/>
      </w:pPr>
      <w:r>
        <w:t xml:space="preserve">6. Conclusion</w:t>
      </w:r>
    </w:p>
    <w:p>
      <w:pPr>
        <w:pStyle w:val="FirstParagraph"/>
      </w:pPr>
      <w:r>
        <w:t xml:space="preserve">The role of the</w:t>
      </w:r>
      <w:r>
        <w:t xml:space="preserve"> </w:t>
      </w:r>
      <w:r>
        <w:rPr>
          <w:iCs/>
          <w:i/>
          <w:bCs/>
          <w:b/>
        </w:rPr>
        <w:t xml:space="preserve">Teacher Secondary</w:t>
      </w:r>
      <w:r>
        <w:t xml:space="preserve"> </w:t>
      </w:r>
      <w:r>
        <w:t xml:space="preserve">in</w:t>
      </w:r>
    </w:p>
    <w:p>
      <w:pPr>
        <w:pStyle w:val="BodyText"/>
      </w:pPr>
      <w:r>
        <w:rPr>
          <w:iCs/>
          <w:i/>
        </w:rPr>
        <w:t xml:space="preserve">Spain Barcelona</w:t>
      </w:r>
      <w:r>
        <w:t xml:space="preserve"> </w:t>
      </w:r>
      <w:r>
        <w:t xml:space="preserve">is multifaceted and critically important. It requires a delicate balance of academic rigor, cultural sensitivity, administrative efficiency, and emotional intelligence. While challenges such as resource inequality and bureaucratic burdens remain significant, the resilience and innovation of educators in this region offer a path forward.</w:t>
      </w:r>
      <w:r>
        <w:t xml:space="preserve"> </w:t>
      </w:r>
      <w:r>
        <w:t xml:space="preserve">By investing in continuous professional development, fostering inclusive pedagogical practices, and strengthening community ties, stakeholders can ensure that the</w:t>
      </w:r>
      <w:r>
        <w:t xml:space="preserve"> </w:t>
      </w:r>
      <w:r>
        <w:rPr>
          <w:iCs/>
          <w:i/>
          <w:bCs/>
          <w:b/>
        </w:rPr>
        <w:t xml:space="preserve">Teacher Secondary</w:t>
      </w:r>
      <w:r>
        <w:t xml:space="preserve"> </w:t>
      </w:r>
      <w:r>
        <w:t xml:space="preserve">profession remains vibrant and effective. The future of education in</w:t>
      </w:r>
    </w:p>
    <w:p>
      <w:pPr>
        <w:pStyle w:val="BodyText"/>
      </w:pPr>
      <w:r>
        <w:rPr>
          <w:iCs/>
          <w:i/>
        </w:rPr>
        <w:t xml:space="preserve">Spain Barcelona</w:t>
      </w:r>
      <w:r>
        <w:t xml:space="preserve"> </w:t>
      </w:r>
      <w:r>
        <w:t xml:space="preserve">depends on empowering these educators to adapt to the ever-changing needs of a diverse student body. Ultimately, the success of secondary education in this dynamic city will be measured not just by test scores, but by the holistic development and well-being of its students, supported by dedicated and skilled teaching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Secondary Teacher Training and Integration in Spain Barcelona</dc:title>
  <dc:creator/>
  <cp:keywords/>
  <dcterms:created xsi:type="dcterms:W3CDTF">2026-07-30T01:13:23Z</dcterms:created>
  <dcterms:modified xsi:type="dcterms:W3CDTF">2026-07-30T01:13:23Z</dcterms:modified>
</cp:coreProperties>
</file>

<file path=docProps/custom.xml><?xml version="1.0" encoding="utf-8"?>
<Properties xmlns="http://schemas.openxmlformats.org/officeDocument/2006/custom-properties" xmlns:vt="http://schemas.openxmlformats.org/officeDocument/2006/docPropsVTypes"/>
</file>