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Education</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9701718eed1f450fdb21852b02b82776da91af9"/>
    <w:p>
      <w:pPr>
        <w:pStyle w:val="Heading1"/>
      </w:pPr>
      <w:r>
        <w:t xml:space="preserve">Educational Excellence Amidst Urban Pressure: A Case Study of Teacher Secondary Education in Sri Lanka Colombo</w:t>
      </w:r>
    </w:p>
    <w:p>
      <w:pPr>
        <w:pStyle w:val="FirstParagraph"/>
      </w:pPr>
      <w:r>
        <w:rPr>
          <w:bCs/>
          <w:b/>
        </w:rPr>
        <w:t xml:space="preserve">Date:</w:t>
      </w:r>
      <w:r>
        <w:t xml:space="preserve"> </w:t>
      </w:r>
      <w:r>
        <w:t xml:space="preserve">October 2023</w:t>
      </w:r>
      <w:r>
        <w:br/>
      </w:r>
      <w:r>
        <w:rPr>
          <w:bCs/>
          <w:b/>
        </w:rPr>
        <w:t xml:space="preserve">Subject:</w:t>
      </w:r>
      <w:r>
        <w:t xml:space="preserve">An In-Depth Analysis of the Secondary School Ecosystem</w:t>
      </w:r>
      <w:r>
        <w:br/>
      </w:r>
      <w:r>
        <w:rPr>
          <w:bCs/>
          <w:b/>
        </w:rPr>
        <w:t xml:space="preserve">Focus Region:</w:t>
      </w:r>
      <w:r>
        <w:t xml:space="preserve">Sri Lanka Colombo</w:t>
      </w:r>
    </w:p>
    <w:bookmarkStart w:id="20" w:name="executive-summary"/>
    <w:p>
      <w:pPr>
        <w:pStyle w:val="Heading2"/>
      </w:pPr>
      <w:r>
        <w:t xml:space="preserve">1. Executive Summary</w:t>
      </w:r>
    </w:p>
    <w:p>
      <w:pPr>
        <w:pStyle w:val="FirstParagraph"/>
      </w:pPr>
      <w:r>
        <w:t xml:space="preserve">The educational landscape in Sri Lanka has long been celebrated for its high literacy rates and robust public education system. However, the dynamic environment of the capital city presents unique challenges and opportunities that differ significantly from rural districts. This case study explores the critical dimensions of</w:t>
      </w:r>
      <w:r>
        <w:t xml:space="preserve"> </w:t>
      </w:r>
      <w:r>
        <w:rPr>
          <w:bCs/>
          <w:b/>
        </w:rPr>
        <w:t xml:space="preserve">Teacher Secondary</w:t>
      </w:r>
      <w:r>
        <w:t xml:space="preserve"> </w:t>
      </w:r>
      <w:r>
        <w:t xml:space="preserve">education within this context, specifically focusing on how educators in</w:t>
      </w:r>
      <w:r>
        <w:t xml:space="preserve"> </w:t>
      </w:r>
      <w:r>
        <w:rPr>
          <w:bCs/>
          <w:b/>
        </w:rPr>
        <w:t xml:space="preserve">Sri Lanka Colombo</w:t>
      </w:r>
      <w:r>
        <w:t xml:space="preserve"> </w:t>
      </w:r>
      <w:r>
        <w:t xml:space="preserve">navigate pedagogical shifts, digital integration, and socio-economic pressures. By analyzing the current state of secondary teaching in this metropolitan hub, we aim to provide actionable insights for policymakers and educational stakeholders.</w:t>
      </w:r>
    </w:p>
    <w:bookmarkEnd w:id="20"/>
    <w:bookmarkStart w:id="21" w:name="X0da1108f0234f461aa6923d98e0dde1e335dfeb"/>
    <w:p>
      <w:pPr>
        <w:pStyle w:val="Heading2"/>
      </w:pPr>
      <w:r>
        <w:t xml:space="preserve">2. Contextual Background: The Colombo Phenomenon</w:t>
      </w:r>
    </w:p>
    <w:p>
      <w:pPr>
        <w:pStyle w:val="FirstParagraph"/>
      </w:pPr>
      <w:r>
        <w:rPr>
          <w:bCs/>
          <w:b/>
        </w:rPr>
        <w:t xml:space="preserve">Sri Lanka Colombo</w:t>
      </w:r>
      <w:r>
        <w:t xml:space="preserve"> </w:t>
      </w:r>
      <w:r>
        <w:t xml:space="preserve">serves as the economic and administrative heart of the nation. Consequently, it attracts a diverse student population ranging from elite private school attendees to children from low-income households relying on government institutions. This demographic diversity creates a complex classroom environment for teachers. The concentration of resources in Colombo has led to higher expectations for academic performance, particularly in science and mathematics streams which are crucial for university entrance.</w:t>
      </w:r>
    </w:p>
    <w:p>
      <w:pPr>
        <w:pStyle w:val="BodyText"/>
      </w:pPr>
      <w:r>
        <w:t xml:space="preserve">In this high-pressure environment, the role of the secondary teacher is not merely that of an instructor but also that of a counselor, mentor, and digital facilitator. The term "Teacher Secondary" refers broadly to educators handling students aged 12 to 18, a critical developmental stage where career choices are solidified.</w:t>
      </w:r>
    </w:p>
    <w:bookmarkEnd w:id="21"/>
    <w:bookmarkStart w:id="22" w:name="X78d866f27cd25dd957dab938f5925fb071e87db"/>
    <w:p>
      <w:pPr>
        <w:pStyle w:val="Heading2"/>
      </w:pPr>
      <w:r>
        <w:t xml:space="preserve">3. Pedagogical Challenges and Digital Transformation</w:t>
      </w:r>
    </w:p>
    <w:p>
      <w:pPr>
        <w:pStyle w:val="FirstParagraph"/>
      </w:pPr>
      <w:r>
        <w:t xml:space="preserve">A significant portion of this case study examines the rapid digitization of the curriculum in Colombo schools. Post-pandemic, there has been an irreversible shift toward hybrid learning models. For secondary teachers in</w:t>
      </w:r>
      <w:r>
        <w:t xml:space="preserve"> </w:t>
      </w:r>
      <w:r>
        <w:rPr>
          <w:bCs/>
          <w:b/>
        </w:rPr>
        <w:t xml:space="preserve">Sri Lanka Colombo</w:t>
      </w:r>
      <w:r>
        <w:t xml:space="preserve">, this requires a steep learning curve regarding digital literacy.</w:t>
      </w:r>
    </w:p>
    <w:p>
      <w:pPr>
        <w:numPr>
          <w:ilvl w:val="0"/>
          <w:numId w:val="1001"/>
        </w:numPr>
        <w:pStyle w:val="Compact"/>
      </w:pPr>
      <w:r>
        <w:rPr>
          <w:bCs/>
          <w:b/>
        </w:rPr>
        <w:t xml:space="preserve">Resource Accessibility:</w:t>
      </w:r>
      <w:r>
        <w:t xml:space="preserve"> </w:t>
      </w:r>
      <w:r>
        <w:t xml:space="preserve">While many private institutions in Colombo are well-equipped with smart boards and high-speed internet, state schools often struggle with intermittent connectivity. This disparity forces teachers to adopt differentiated instruction strategies, ensuring that students without home technology are not left behind.</w:t>
      </w:r>
    </w:p>
    <w:p>
      <w:pPr>
        <w:numPr>
          <w:ilvl w:val="0"/>
          <w:numId w:val="1001"/>
        </w:numPr>
        <w:pStyle w:val="Compact"/>
      </w:pPr>
      <w:r>
        <w:rPr>
          <w:bCs/>
          <w:b/>
        </w:rPr>
        <w:t xml:space="preserve">Cognitive Load:</w:t>
      </w:r>
      <w:r>
        <w:t xml:space="preserve"> </w:t>
      </w:r>
      <w:r>
        <w:t xml:space="preserve">Secondary students face immense pressure from the G.C.E. O/L and A/L examinations. Teachers are tasked with delivering complex content while simultaneously managing student anxiety regarding exam outcomes.</w:t>
      </w:r>
    </w:p>
    <w:bookmarkEnd w:id="22"/>
    <w:bookmarkStart w:id="25" w:name="X85322e792163fb8b6840aa32426c52d423de86b"/>
    <w:p>
      <w:pPr>
        <w:pStyle w:val="Heading2"/>
      </w:pPr>
      <w:r>
        <w:t xml:space="preserve">4. The Role of the Teacher in Socio-Economic Integration</w:t>
      </w:r>
    </w:p>
    <w:p>
      <w:pPr>
        <w:pStyle w:val="FirstParagraph"/>
      </w:pPr>
      <w:r>
        <w:t xml:space="preserve">In</w:t>
      </w:r>
      <w:r>
        <w:t xml:space="preserve"> </w:t>
      </w:r>
      <w:r>
        <w:rPr>
          <w:bCs/>
          <w:b/>
        </w:rPr>
        <w:t xml:space="preserve">Sri Lanka Colombo</w:t>
      </w:r>
      <w:r>
        <w:t xml:space="preserve">, the classroom is a microcosm of societal inequality. Secondary teachers frequently encounter students from varying economic backgrounds within the same government school setting. The case study highlights that effective secondary teaching now requires strong socio-emotional skills.</w:t>
      </w:r>
    </w:p>
    <w:bookmarkStart w:id="23" w:name="bridging-the-gap"/>
    <w:p>
      <w:pPr>
        <w:pStyle w:val="Heading3"/>
      </w:pPr>
      <w:r>
        <w:t xml:space="preserve">4.1 Bridging the Gap</w:t>
      </w:r>
    </w:p>
    <w:p>
      <w:pPr>
        <w:pStyle w:val="FirstParagraph"/>
      </w:pPr>
      <w:r>
        <w:t xml:space="preserve">Educators are increasingly expected to provide basic welfare support, including identifying signs of malnutrition or domestic instability, which directly impact academic performance. Professional development programs in Colombo have begun to integrate modules on child psychology and community engagement, acknowledging that academic success is inextricably linked to a student’s well-being.</w:t>
      </w:r>
    </w:p>
    <w:bookmarkEnd w:id="23"/>
    <w:bookmarkStart w:id="24" w:name="language-dynamics"/>
    <w:p>
      <w:pPr>
        <w:pStyle w:val="Heading3"/>
      </w:pPr>
      <w:r>
        <w:t xml:space="preserve">4.2 Language Dynamics</w:t>
      </w:r>
    </w:p>
    <w:p>
      <w:pPr>
        <w:pStyle w:val="FirstParagraph"/>
      </w:pPr>
      <w:r>
        <w:t xml:space="preserve">The linguistic landscape of Colombo is also unique. While Sinhala and Tamil are the official languages, English proficiency is highly prized for career mobility. Secondary teachers in Colombo often operate in a trilingual environment, requiring them to be adept at code-switching to ensure conceptual clarity across different student groups.</w:t>
      </w:r>
    </w:p>
    <w:bookmarkEnd w:id="24"/>
    <w:bookmarkEnd w:id="25"/>
    <w:bookmarkStart w:id="28" w:name="X0bda7e50b8a09b17073750aa8fa0d1d9c06a68a"/>
    <w:p>
      <w:pPr>
        <w:pStyle w:val="Heading2"/>
      </w:pPr>
      <w:r>
        <w:t xml:space="preserve">5. Case Analysis: The "Green School" Initiative</w:t>
      </w:r>
    </w:p>
    <w:p>
      <w:pPr>
        <w:pStyle w:val="FirstParagraph"/>
      </w:pPr>
      <w:r>
        <w:t xml:space="preserve">To illustrate the practical application of these concepts, this section analyzes a specific initiative in Colombo known as the "Green School" project. This pilot program aimed to integrate environmental science into the secondary curriculum while reducing operational carbon footprints.</w:t>
      </w:r>
    </w:p>
    <w:bookmarkStart w:id="26" w:name="implementation"/>
    <w:p>
      <w:pPr>
        <w:pStyle w:val="Heading3"/>
      </w:pPr>
      <w:r>
        <w:t xml:space="preserve">5.1 Implementation</w:t>
      </w:r>
    </w:p>
    <w:p>
      <w:pPr>
        <w:pStyle w:val="FirstParagraph"/>
      </w:pPr>
      <w:r>
        <w:t xml:space="preserve">A team of secondary teachers in Colombo collaborated with local NGOs to transform schoolyards into community gardens. Teachers were trained not only in botany and biology but also in project-based learning facilitation. This approach allowed students to apply theoretical knowledge from their textbooks to real-world scenarios.</w:t>
      </w:r>
    </w:p>
    <w:bookmarkEnd w:id="26"/>
    <w:bookmarkStart w:id="27" w:name="outcomes"/>
    <w:p>
      <w:pPr>
        <w:pStyle w:val="Heading3"/>
      </w:pPr>
      <w:r>
        <w:t xml:space="preserve">5.2 Outcomes</w:t>
      </w:r>
    </w:p>
    <w:p>
      <w:pPr>
        <w:pStyle w:val="FirstParagraph"/>
      </w:pPr>
      <w:r>
        <w:t xml:space="preserve">The results were multifaceted:</w:t>
      </w:r>
    </w:p>
    <w:p>
      <w:pPr>
        <w:numPr>
          <w:ilvl w:val="0"/>
          <w:numId w:val="1002"/>
        </w:numPr>
        <w:pStyle w:val="Compact"/>
      </w:pPr>
      <w:r>
        <w:rPr>
          <w:bCs/>
          <w:b/>
        </w:rPr>
        <w:t xml:space="preserve">Academic Performance:</w:t>
      </w:r>
      <w:r>
        <w:t xml:space="preserve"> </w:t>
      </w:r>
      <w:r>
        <w:t xml:space="preserve">Students showed a 15% improvement in practical science questions during mock exams.</w:t>
      </w:r>
    </w:p>
    <w:p>
      <w:pPr>
        <w:numPr>
          <w:ilvl w:val="0"/>
          <w:numId w:val="1002"/>
        </w:numPr>
        <w:pStyle w:val="Compact"/>
      </w:pPr>
      <w:r>
        <w:rPr>
          <w:bCs/>
          <w:b/>
        </w:rPr>
        <w:t xml:space="preserve">Social Cohesion:</w:t>
      </w:r>
      <w:r>
        <w:t xml:space="preserve"> </w:t>
      </w:r>
      <w:r>
        <w:t xml:space="preserve">The collaborative nature of the project reduced disciplinary issues among secondary students.</w:t>
      </w:r>
    </w:p>
    <w:p>
      <w:pPr>
        <w:numPr>
          <w:ilvl w:val="0"/>
          <w:numId w:val="1002"/>
        </w:numPr>
        <w:pStyle w:val="Compact"/>
      </w:pPr>
      <w:r>
        <w:rPr>
          <w:bCs/>
          <w:b/>
        </w:rPr>
        <w:t xml:space="preserve">Educator Satisfaction:</w:t>
      </w:r>
      <w:r>
        <w:t xml:space="preserve"> </w:t>
      </w:r>
      <w:r>
        <w:t xml:space="preserve">Teachers reported higher job satisfaction due to the tangible impact their lessons had on the community, combating burnout common in urban teaching roles.</w:t>
      </w:r>
    </w:p>
    <w:bookmarkEnd w:id="27"/>
    <w:bookmarkEnd w:id="28"/>
    <w:bookmarkStart w:id="29" w:name="challenges-and-barriers"/>
    <w:p>
      <w:pPr>
        <w:pStyle w:val="Heading2"/>
      </w:pPr>
      <w:r>
        <w:t xml:space="preserve">6. Challenges and Barriers</w:t>
      </w:r>
    </w:p>
    <w:p>
      <w:pPr>
        <w:numPr>
          <w:ilvl w:val="0"/>
          <w:numId w:val="1003"/>
        </w:numPr>
        <w:pStyle w:val="Compact"/>
      </w:pPr>
      <w:r>
        <w:rPr>
          <w:bCs/>
          <w:b/>
        </w:rPr>
        <w:t xml:space="preserve">Bureaucratic Overload:</w:t>
      </w:r>
    </w:p>
    <w:p>
      <w:pPr>
        <w:numPr>
          <w:ilvl w:val="0"/>
          <w:numId w:val="1003"/>
        </w:numPr>
        <w:pStyle w:val="Compact"/>
      </w:pPr>
      <w:r>
        <w:rPr>
          <w:bCs/>
          <w:b/>
        </w:rPr>
        <w:t xml:space="preserve">Teacher Retention:</w:t>
      </w:r>
    </w:p>
    <w:p>
      <w:pPr>
        <w:numPr>
          <w:ilvl w:val="0"/>
          <w:numId w:val="1003"/>
        </w:numPr>
        <w:pStyle w:val="Compact"/>
      </w:pPr>
      <w:r>
        <w:t xml:space="preserve">Rapid Curriculum Changes:</w:t>
      </w:r>
    </w:p>
    <w:p>
      <w:pPr>
        <w:numPr>
          <w:ilvl w:val="0"/>
          <w:numId w:val="1000"/>
        </w:numPr>
        <w:pStyle w:val="Compact"/>
      </w:pPr>
      <w:r>
        <w:t xml:space="preserve">Frequent updates to the syllabus often outpace the training provided to teachers, leading to confusion and inconsistency in delivery.</w:t>
      </w:r>
    </w:p>
    <w:bookmarkEnd w:id="29"/>
    <w:bookmarkStart w:id="30" w:name="strategic-recommendations"/>
    <w:p>
      <w:pPr>
        <w:pStyle w:val="Heading2"/>
      </w:pPr>
      <w:r>
        <w:t xml:space="preserve">7. Strategic Recommendations</w:t>
      </w:r>
    </w:p>
    <w:p>
      <w:pPr>
        <w:pStyle w:val="FirstParagraph"/>
      </w:pPr>
      <w:r>
        <w:t xml:space="preserve">To enhance the quality of secondary education in</w:t>
      </w:r>
      <w:r>
        <w:t xml:space="preserve"> </w:t>
      </w:r>
      <w:r>
        <w:rPr>
          <w:bCs/>
          <w:b/>
        </w:rPr>
        <w:t xml:space="preserve">Sri Lanka Colombo</w:t>
      </w:r>
      <w:r>
        <w:t xml:space="preserve">, the following recommendations are proposed:</w:t>
      </w:r>
    </w:p>
    <w:p>
      <w:pPr>
        <w:numPr>
          <w:ilvl w:val="0"/>
          <w:numId w:val="1004"/>
        </w:numPr>
        <w:pStyle w:val="Compact"/>
      </w:pPr>
      <w:r>
        <w:rPr>
          <w:bCs/>
          <w:b/>
        </w:rPr>
        <w:t xml:space="preserve">Tech-Infrastructure Equity:</w:t>
      </w:r>
    </w:p>
    <w:p>
      <w:pPr>
        <w:numPr>
          <w:ilvl w:val="0"/>
          <w:numId w:val="1004"/>
        </w:numPr>
        <w:pStyle w:val="Compact"/>
      </w:pPr>
      <w:r>
        <w:rPr>
          <w:bCs/>
          <w:b/>
        </w:rPr>
        <w:t xml:space="preserve">Mental Health Support for Educators:</w:t>
      </w:r>
    </w:p>
    <w:p>
      <w:pPr>
        <w:numPr>
          <w:ilvl w:val="0"/>
          <w:numId w:val="1000"/>
        </w:numPr>
        <w:pStyle w:val="Compact"/>
      </w:pPr>
      <w:r>
        <w:t xml:space="preserve">Regular counseling services and stress-management workshops should be made mandatory for teachers to address burnout.</w:t>
      </w:r>
    </w:p>
    <w:p>
      <w:pPr>
        <w:numPr>
          <w:ilvl w:val="0"/>
          <w:numId w:val="1004"/>
        </w:numPr>
        <w:pStyle w:val="Compact"/>
      </w:pPr>
      <w:r>
        <w:rPr>
          <w:bCs/>
          <w:b/>
        </w:rPr>
        <w:t xml:space="preserve">Pedagogical Autonomy:</w:t>
      </w:r>
    </w:p>
    <w:p>
      <w:pPr>
        <w:numPr>
          <w:ilvl w:val="0"/>
          <w:numId w:val="1000"/>
        </w:numPr>
        <w:pStyle w:val="Compact"/>
      </w:pPr>
      <w:r>
        <w:t xml:space="preserve">Tailoring teaching methods to local community needs rather than adhering strictly to rigid central directives can improve engagement in Colombo's diverse schools.</w:t>
      </w:r>
    </w:p>
    <w:bookmarkEnd w:id="30"/>
    <w:bookmarkStart w:id="31" w:name="conclusion"/>
    <w:p>
      <w:pPr>
        <w:pStyle w:val="Heading2"/>
      </w:pPr>
      <w:r>
        <w:t xml:space="preserve">8. Conclusion</w:t>
      </w:r>
    </w:p>
    <w:p>
      <w:pPr>
        <w:pStyle w:val="FirstParagraph"/>
      </w:pPr>
      <w:r>
        <w:t xml:space="preserve">The case of secondary education in</w:t>
      </w:r>
      <w:r>
        <w:t xml:space="preserve"> </w:t>
      </w:r>
      <w:r>
        <w:rPr>
          <w:bCs/>
          <w:b/>
        </w:rPr>
        <w:t xml:space="preserve">Sri Lanka Colombo</w:t>
      </w:r>
      <w:r>
        <w:t xml:space="preserve"> </w:t>
      </w:r>
      <w:r>
        <w:t xml:space="preserve">demonstrates that while challenges are formidable, the resilience and adaptability of teachers provide a strong foundation for improvement. The role of the "Teacher Secondary" has evolved from a traditional lecturer to a multifaceted educational leader. By addressing digital disparities, supporting teacher well-being, and leveraging community resources,</w:t>
      </w:r>
      <w:r>
        <w:t xml:space="preserve"> </w:t>
      </w:r>
      <w:r>
        <w:rPr>
          <w:bCs/>
          <w:b/>
        </w:rPr>
        <w:t xml:space="preserve">Sri Lanka Colombo</w:t>
      </w:r>
      <w:r>
        <w:t xml:space="preserve"> </w:t>
      </w:r>
      <w:r>
        <w:t xml:space="preserve">can set a benchmark for urban education in the region.</w:t>
      </w:r>
    </w:p>
    <w:p>
      <w:pPr>
        <w:pStyle w:val="BodyText"/>
      </w:pPr>
      <w:r>
        <w:t xml:space="preserve">This case study underscores that investing in secondary teachers is not just an educational imperative but a socioeconomic one. The skills imparted by these educators today will determine the future workforce of Colombo and, by extension, Sri Lanka. Continued focus on professional development and equitable resource allocation remains essential for sustained success.</w:t>
      </w:r>
    </w:p>
    <w:p>
      <w:r>
        <w:pict>
          <v:rect style="width:0;height:1.5pt" o:hralign="center" o:hrstd="t" o:hr="t"/>
        </w:pict>
      </w:r>
    </w:p>
    <w:p>
      <w:pPr>
        <w:pStyle w:val="FirstParagraph"/>
      </w:pPr>
      <w:r>
        <w:rPr>
          <w:iCs/>
          <w:i/>
        </w:rPr>
        <w:t xml:space="preserve">Note: This document is a fictionalized case study compiled for educational analysis purposes based on general trends in the Sri Lankan education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Education in Sri Lanka Colombo</dc:title>
  <dc:creator/>
  <dc:language>en</dc:language>
  <cp:keywords/>
  <dcterms:created xsi:type="dcterms:W3CDTF">2026-07-29T11:15:08Z</dcterms:created>
  <dcterms:modified xsi:type="dcterms:W3CDTF">2026-07-29T11:15:08Z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