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Thailand</w:t>
      </w:r>
      <w:r>
        <w:t xml:space="preserve"> </w:t>
      </w:r>
      <w:r>
        <w:t xml:space="preserve">Bangkok</w:t>
      </w:r>
    </w:p>
    <w:bookmarkStart w:id="29" w:name="Xf8249398f60c16ef20121a833eef1975e891724"/>
    <w:p>
      <w:pPr>
        <w:pStyle w:val="Heading1"/>
      </w:pPr>
      <w:r>
        <w:t xml:space="preserve">The Role and Impact of the Teacher Secondary in Thailand Bangkok</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Reform and Professional Development</w:t>
      </w:r>
      <w:r>
        <w:br/>
      </w:r>
      <w:r>
        <w:rPr>
          <w:bCs/>
          <w:b/>
        </w:rPr>
        <w:t xml:space="preserve">Jurisdiction:</w:t>
      </w:r>
    </w:p>
    <w:bookmarkStart w:id="20" w:name="i.-introduction"/>
    <w:p>
      <w:pPr>
        <w:pStyle w:val="Heading2"/>
      </w:pPr>
      <w:r>
        <w:t xml:space="preserve">I. Introduction</w:t>
      </w:r>
    </w:p>
    <w:p>
      <w:pPr>
        <w:pStyle w:val="FirstParagraph"/>
      </w:pPr>
      <w:r>
        <w:t xml:space="preserve">The educational landscape of</w:t>
      </w:r>
      <w:r>
        <w:t xml:space="preserve"> </w:t>
      </w:r>
      <w:r>
        <w:t xml:space="preserve">Thailand Bangkok</w:t>
      </w:r>
      <w:r>
        <w:t xml:space="preserve">, the capital city, is a dynamic and complex ecosystem that serves as a microcosm for the entire nation’s development strategies. At the heart of this ecosystem lies one pivotal figure: the</w:t>
      </w:r>
      <w:r>
        <w:t xml:space="preserve"> </w:t>
      </w:r>
      <w:r>
        <w:t xml:space="preserve">Teacher Secondary</w:t>
      </w:r>
      <w:r>
        <w:t xml:space="preserve">. In recent years, the role of secondary education teachers in</w:t>
      </w:r>
      <w:r>
        <w:t xml:space="preserve"> </w:t>
      </w:r>
      <w:r>
        <w:t xml:space="preserve">Thailand Bangkok</w:t>
      </w:r>
      <w:r>
        <w:t xml:space="preserve"> </w:t>
      </w:r>
      <w:r>
        <w:t xml:space="preserve">has undergone a profound transformation. No longer viewed merely as transmitters of factual knowledge, these educators are now expected to be facilitators of critical thinking, digital innovators, and cultural mentors.</w:t>
      </w:r>
    </w:p>
    <w:p>
      <w:pPr>
        <w:pStyle w:val="BodyText"/>
      </w:pPr>
      <w:r>
        <w:t xml:space="preserve">This Case Study aims to explore the multifaceted responsibilities, challenges, and strategic importance of the</w:t>
      </w:r>
      <w:r>
        <w:t xml:space="preserve"> </w:t>
      </w:r>
      <w:r>
        <w:t xml:space="preserve">Teacher Secondary</w:t>
      </w:r>
      <w:r>
        <w:t xml:space="preserve"> </w:t>
      </w:r>
      <w:r>
        <w:t xml:space="preserve">within the unique context of</w:t>
      </w:r>
      <w:r>
        <w:t xml:space="preserve"> </w:t>
      </w:r>
      <w:r>
        <w:t xml:space="preserve">Thailand Bangkok</w:t>
      </w:r>
      <w:r>
        <w:t xml:space="preserve">. By analyzing current pedagogical shifts and socio-economic factors, we can understand how secondary teachers are shaping the future workforce and civic consciousness of one of Southeast Asia’s most vibrant metropolitan areas.</w:t>
      </w:r>
    </w:p>
    <w:bookmarkEnd w:id="20"/>
    <w:bookmarkStart w:id="21" w:name="X4ca3ef6bfc4d64441c5037ddde7d0ec5d96e1db"/>
    <w:p>
      <w:pPr>
        <w:pStyle w:val="Heading2"/>
      </w:pPr>
      <w:r>
        <w:t xml:space="preserve">II. Contextualizing Education in Thailand Bangkok</w:t>
      </w:r>
    </w:p>
    <w:p>
      <w:pPr>
        <w:pStyle w:val="FirstParagraph"/>
      </w:pPr>
      <w:r>
        <w:t xml:space="preserve">Thailand Bangkok</w:t>
      </w:r>
    </w:p>
    <w:p>
      <w:pPr>
        <w:pStyle w:val="BodyText"/>
      </w:pPr>
      <w:r>
        <w:t xml:space="preserve">The capital is characterized by a stark dichotomy between elite international institutions and public state schools. However, the majority of students attend government-funded secondary schools. These institutions are tasked with the heavy burden of providing equitable education to a diverse population that includes local residents, migrant workers from rural provinces, and expatriate children. In this high-pressure environment, the</w:t>
      </w:r>
      <w:r>
        <w:t xml:space="preserve"> </w:t>
      </w:r>
      <w:r>
        <w:t xml:space="preserve">Teacher Secondary</w:t>
      </w:r>
      <w:r>
        <w:t xml:space="preserve"> </w:t>
      </w:r>
      <w:r>
        <w:t xml:space="preserve">becomes the primary agent of social cohesion and academic standardization.</w:t>
      </w:r>
    </w:p>
    <w:p>
      <w:pPr>
        <w:pStyle w:val="BodyText"/>
      </w:pPr>
      <w:r>
        <w:t xml:space="preserve">The Ministry of Education has recently emphasized STEM (Science, Technology, Engineering, and Mathematics) integration and digital literacy. For the</w:t>
      </w:r>
      <w:r>
        <w:t xml:space="preserve"> </w:t>
      </w:r>
      <w:r>
        <w:t xml:space="preserve">Teacher Secondary</w:t>
      </w:r>
      <w:r>
        <w:t xml:space="preserve"> </w:t>
      </w:r>
      <w:r>
        <w:t xml:space="preserve">in</w:t>
      </w:r>
      <w:r>
        <w:t xml:space="preserve"> </w:t>
      </w:r>
      <w:r>
        <w:t xml:space="preserve">Thailand Bangkok</w:t>
      </w:r>
      <w:r>
        <w:t xml:space="preserve">, this means navigating a steep learning curve to incorporate technology into traditional curricula while managing large class sizes that often exceed thirty-five students per classroom.</w:t>
      </w:r>
    </w:p>
    <w:bookmarkEnd w:id="21"/>
    <w:bookmarkStart w:id="25" w:name="X851589ce8bdccb49bee148c3a5da89e0e54d2c5"/>
    <w:p>
      <w:pPr>
        <w:pStyle w:val="Heading2"/>
      </w:pPr>
      <w:r>
        <w:t xml:space="preserve">III. The Evolving Role of the Teacher Secondary</w:t>
      </w:r>
    </w:p>
    <w:p>
      <w:pPr>
        <w:pStyle w:val="FirstParagraph"/>
      </w:pPr>
      <w:r>
        <w:t xml:space="preserve">Gone are the days when the</w:t>
      </w:r>
      <w:r>
        <w:t xml:space="preserve"> </w:t>
      </w:r>
      <w:r>
        <w:t xml:space="preserve">Teacher Secondary</w:t>
      </w:r>
      <w:r>
        <w:t xml:space="preserve"> </w:t>
      </w:r>
      <w:r>
        <w:t xml:space="preserve">simply stood at a blackboard and dictated notes. In modern</w:t>
      </w:r>
      <w:r>
        <w:t xml:space="preserve"> </w:t>
      </w:r>
      <w:r>
        <w:t xml:space="preserve">Thailand Bangkok</w:t>
      </w:r>
      <w:r>
        <w:t xml:space="preserve">, the role is holistic. The modern secondary teacher is expected to fulfill three distinct capacities:</w:t>
      </w:r>
    </w:p>
    <w:bookmarkStart w:id="22" w:name="a1.-pedagogical-innovator"/>
    <w:p>
      <w:pPr>
        <w:pStyle w:val="Heading3"/>
      </w:pPr>
      <w:r>
        <w:t xml:space="preserve">A1. Pedagogical Innovator</w:t>
      </w:r>
    </w:p>
    <w:p>
      <w:pPr>
        <w:pStyle w:val="FirstParagraph"/>
      </w:pPr>
      <w:r>
        <w:t xml:space="preserve">The curriculum in</w:t>
      </w:r>
      <w:r>
        <w:t xml:space="preserve"> </w:t>
      </w:r>
      <w:r>
        <w:t xml:space="preserve">Thailand Bangkok</w:t>
      </w:r>
      <w:r>
        <w:t xml:space="preserve"> </w:t>
      </w:r>
      <w:r>
        <w:t xml:space="preserve">has shifted toward student-centered learning. The</w:t>
      </w:r>
      <w:r>
        <w:t xml:space="preserve"> </w:t>
      </w:r>
      <w:r>
        <w:t xml:space="preserve">Teacher Secondary</w:t>
      </w:r>
      <w:r>
        <w:t xml:space="preserve"> </w:t>
      </w:r>
      <w:r>
        <w:t xml:space="preserve">must design lessons that encourage inquiry rather than rote memorization. This requires a deep understanding of local cultural nuances and global educational standards simultaneously.</w:t>
      </w:r>
    </w:p>
    <w:bookmarkEnd w:id="22"/>
    <w:bookmarkStart w:id="23" w:name="b2.-digital-mentor"/>
    <w:p>
      <w:pPr>
        <w:pStyle w:val="Heading3"/>
      </w:pPr>
      <w:r>
        <w:t xml:space="preserve">B2. Digital Mentor</w:t>
      </w:r>
    </w:p>
    <w:p>
      <w:pPr>
        <w:pStyle w:val="FirstParagraph"/>
      </w:pPr>
      <w:r>
        <w:t xml:space="preserve">Thailand Bangkok</w:t>
      </w:r>
    </w:p>
    <w:bookmarkEnd w:id="23"/>
    <w:bookmarkStart w:id="24" w:name="c3.-cultural-guardian-and-social-worker"/>
    <w:p>
      <w:pPr>
        <w:pStyle w:val="Heading3"/>
      </w:pPr>
      <w:r>
        <w:t xml:space="preserve">C3. Cultural Guardian and Social Worker</w:t>
      </w:r>
    </w:p>
    <w:p>
      <w:pPr>
        <w:pStyle w:val="FirstParagraph"/>
      </w:pPr>
      <w:r>
        <w:t xml:space="preserve">In many public schools in</w:t>
      </w:r>
      <w:r>
        <w:t xml:space="preserve"> </w:t>
      </w:r>
      <w:r>
        <w:t xml:space="preserve">Thailand Bangkok</w:t>
      </w:r>
      <w:r>
        <w:t xml:space="preserve">, the</w:t>
      </w:r>
      <w:r>
        <w:t xml:space="preserve"> </w:t>
      </w:r>
      <w:r>
        <w:t xml:space="preserve">Teacher Secondary</w:t>
      </w:r>
      <w:r>
        <w:t xml:space="preserve"> </w:t>
      </w:r>
      <w:r>
        <w:t xml:space="preserve">often assumes a parental role. They address issues ranging from mental health and cyberbullying to family poverty. The emotional labor required of these teachers is immense, as they serve as the primary support system for adolescents navigating rapid urbanization.</w:t>
      </w:r>
    </w:p>
    <w:bookmarkEnd w:id="24"/>
    <w:bookmarkEnd w:id="25"/>
    <w:bookmarkStart w:id="26" w:name="Xb75163054faa56759090b2537294844b185f957"/>
    <w:p>
      <w:pPr>
        <w:pStyle w:val="Heading2"/>
      </w:pPr>
      <w:r>
        <w:t xml:space="preserve">IV. Challenges Facing Teachers in Thailand Bangkok</w:t>
      </w:r>
    </w:p>
    <w:p>
      <w:pPr>
        <w:pStyle w:val="FirstParagraph"/>
      </w:pPr>
      <w:r>
        <w:t xml:space="preserve">Despite their critical importance,</w:t>
      </w:r>
      <w:r>
        <w:t xml:space="preserve"> </w:t>
      </w:r>
      <w:r>
        <w:t xml:space="preserve">Teacher Secondary</w:t>
      </w:r>
      <w:r>
        <w:t xml:space="preserve">s in</w:t>
      </w:r>
      <w:r>
        <w:t xml:space="preserve"> </w:t>
      </w:r>
      <w:r>
        <w:t xml:space="preserve">Thailand Bangkok</w:t>
      </w:r>
      <w:r>
        <w:t xml:space="preserve"> </w:t>
      </w:r>
      <w:r>
        <w:t xml:space="preserve">face significant systemic hurdles.</w:t>
      </w:r>
    </w:p>
    <w:p>
      <w:pPr>
        <w:pStyle w:val="BodyText"/>
      </w:pPr>
      <w:r>
        <w:rPr>
          <w:bCs/>
          <w:b/>
        </w:rPr>
        <w:t xml:space="preserve">Bureaucratic Burden:</w:t>
      </w:r>
    </w:p>
    <w:p>
      <w:pPr>
        <w:pStyle w:val="BodyText"/>
      </w:pPr>
      <w:r>
        <w:rPr>
          <w:bCs/>
          <w:b/>
        </w:rPr>
        <w:t xml:space="preserve">Digital Divide:</w:t>
      </w:r>
    </w:p>
    <w:p>
      <w:pPr>
        <w:pStyle w:val="BodyText"/>
      </w:pPr>
      <w:r>
        <w:rPr>
          <w:bCs/>
          <w:b/>
        </w:rPr>
        <w:t xml:space="preserve">Socio-Economic Disparities:</w:t>
      </w:r>
    </w:p>
    <w:bookmarkEnd w:id="26"/>
    <w:bookmarkStart w:id="27" w:name="X4e355ba21787376955968c36e6fe50c8e6a30f6"/>
    <w:p>
      <w:pPr>
        <w:pStyle w:val="Heading2"/>
      </w:pPr>
      <w:r>
        <w:t xml:space="preserve">V. Strategic Importance and Future Outlook</w:t>
      </w:r>
    </w:p>
    <w:p>
      <w:pPr>
        <w:pStyle w:val="FirstParagraph"/>
      </w:pPr>
      <w:r>
        <w:t xml:space="preserve">The future of</w:t>
      </w:r>
      <w:r>
        <w:t xml:space="preserve"> </w:t>
      </w:r>
      <w:r>
        <w:t xml:space="preserve">Thailand Bangkok</w:t>
      </w:r>
      <w:r>
        <w:t xml:space="preserve">’s economic competitiveness depends heavily on the quality of its secondary education. The</w:t>
      </w:r>
      <w:r>
        <w:t xml:space="preserve"> </w:t>
      </w:r>
      <w:r>
        <w:t xml:space="preserve">Teacher Secondary</w:t>
      </w:r>
      <w:r>
        <w:t xml:space="preserve"> </w:t>
      </w:r>
      <w:r>
        <w:t xml:space="preserve">is the linchpin in this strategy. To ensure success, several strategic initiatives are being implemented:</w:t>
      </w:r>
    </w:p>
    <w:p>
      <w:pPr>
        <w:numPr>
          <w:ilvl w:val="0"/>
          <w:numId w:val="1001"/>
        </w:numPr>
        <w:pStyle w:val="Compact"/>
      </w:pPr>
      <w:r>
        <w:rPr>
          <w:bCs/>
          <w:b/>
        </w:rPr>
        <w:t xml:space="preserve">Continuous Professional Development:</w:t>
      </w:r>
    </w:p>
    <w:p>
      <w:pPr>
        <w:numPr>
          <w:ilvl w:val="0"/>
          <w:numId w:val="1001"/>
        </w:numPr>
        <w:pStyle w:val="Compact"/>
      </w:pPr>
      <w:r>
        <w:rPr>
          <w:bCs/>
          <w:b/>
        </w:rPr>
        <w:t xml:space="preserve">Tech-Integration Grants:</w:t>
      </w:r>
    </w:p>
    <w:p>
      <w:pPr>
        <w:numPr>
          <w:ilvl w:val="0"/>
          <w:numId w:val="1001"/>
        </w:numPr>
        <w:pStyle w:val="Compact"/>
      </w:pPr>
      <w:r>
        <w:t xml:space="preserve">Mental Health Support Systems:: Allocating resources for school psychologists to work alongside the</w:t>
      </w:r>
      <w:r>
        <w:t xml:space="preserve"> </w:t>
      </w:r>
      <w:r>
        <w:t xml:space="preserve">Teacher Secondary</w:t>
      </w:r>
      <w:r>
        <w:t xml:space="preserve"> </w:t>
      </w:r>
      <w:r>
        <w:t xml:space="preserve">to reduce burnout.</w:t>
      </w:r>
    </w:p>
    <w:p>
      <w:pPr>
        <w:pStyle w:val="FirstParagraph"/>
      </w:pPr>
      <w:r>
        <w:t xml:space="preserve">If these measures are successfully executed, the</w:t>
      </w:r>
      <w:r>
        <w:t xml:space="preserve"> </w:t>
      </w:r>
      <w:r>
        <w:t xml:space="preserve">Teacher Secondary</w:t>
      </w:r>
    </w:p>
    <w:bookmarkEnd w:id="27"/>
    <w:bookmarkStart w:id="28" w:name="vii.-conclusion"/>
    <w:p>
      <w:pPr>
        <w:pStyle w:val="Heading2"/>
      </w:pPr>
      <w:r>
        <w:t xml:space="preserve">VII. Conclusion</w:t>
      </w:r>
    </w:p>
    <w:p>
      <w:pPr>
        <w:pStyle w:val="FirstParagraph"/>
      </w:pPr>
      <w:r>
        <w:t xml:space="preserve">In conclusion, the</w:t>
      </w:r>
      <w:r>
        <w:t xml:space="preserve"> </w:t>
      </w:r>
      <w:r>
        <w:t xml:space="preserve">Teacher Secondary</w:t>
      </w:r>
      <w:r>
        <w:t xml:space="preserve"> </w:t>
      </w:r>
      <w:r>
        <w:t xml:space="preserve">is not merely an employee of the education sector in</w:t>
      </w:r>
      <w:r>
        <w:t xml:space="preserve"> </w:t>
      </w:r>
      <w:r>
        <w:t xml:space="preserve">Thailand Bangkok</w:t>
      </w:r>
      <w:r>
        <w:t xml:space="preserve">; they are architects of society. They operate at the intersection of tradition and modernity, navigating the complexities of a rapidly developing capital city. Their ability to adapt to digital changes, manage diverse classrooms, and provide emotional support defines the quality of education in</w:t>
      </w:r>
      <w:r>
        <w:t xml:space="preserve"> </w:t>
      </w:r>
      <w:r>
        <w:t xml:space="preserve">Thailand Bangkok</w:t>
      </w:r>
      <w:r>
        <w:t xml:space="preserve">.</w:t>
      </w:r>
    </w:p>
    <w:p>
      <w:pPr>
        <w:pStyle w:val="BodyText"/>
      </w:pPr>
      <w:r>
        <w:t xml:space="preserve">Policies that support these educators will yield long-term dividends for the nation. By empowering the</w:t>
      </w:r>
      <w:r>
        <w:t xml:space="preserve"> </w:t>
      </w:r>
      <w:r>
        <w:t xml:space="preserve">Teacher Secondary</w:t>
      </w:r>
      <w:r>
        <w:t xml:space="preserve">,</w:t>
      </w:r>
    </w:p>
    <w:p>
      <w:pPr>
        <w:pStyle w:val="BodyText"/>
      </w:pPr>
      <w:r>
        <w:t xml:space="preserve">Thailand Bangkok ensures that its youth are prepared not just for exams, but for life in a globalized world. The case study of secondary education in this region highlights that investing in teachers is synonymous with investing in the future stability and prosperity of</w:t>
      </w:r>
      <w:r>
        <w:t xml:space="preserve"> </w:t>
      </w:r>
      <w:r>
        <w:t xml:space="preserve">Thailand Bangkok</w:t>
      </w:r>
      <w:r>
        <w:t xml:space="preserve">.</w:t>
      </w:r>
    </w:p>
    <w:p>
      <w:pPr>
        <w:pStyle w:val="BodyText"/>
      </w:pPr>
      <w:r>
        <w:rPr>
          <w:bCs/>
          <w:b/>
        </w:rPr>
        <w:t xml:space="preserve">Key Takeaway:</w:t>
      </w:r>
      <w:r>
        <w:t xml:space="preserve"> </w:t>
      </w:r>
      <w:r>
        <w:t xml:space="preserve">The efficacy of educational reforms in</w:t>
      </w:r>
      <w:r>
        <w:t xml:space="preserve"> </w:t>
      </w:r>
      <w:r>
        <w:t xml:space="preserve">Thailand Bangkok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Education in Thailand Bangkok</dc:title>
  <dc:creator/>
  <dc:language>en</dc:language>
  <cp:keywords/>
  <dcterms:created xsi:type="dcterms:W3CDTF">2026-07-29T02:26:30Z</dcterms:created>
  <dcterms:modified xsi:type="dcterms:W3CDTF">2026-07-29T02:26:30Z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