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Abu</w:t>
      </w:r>
      <w:r>
        <w:t xml:space="preserve"> </w:t>
      </w:r>
      <w:r>
        <w:t xml:space="preserve">Dhabi</w:t>
      </w:r>
    </w:p>
    <w:bookmarkStart w:id="27" w:name="X6f35d0917d7d5f6eca5ba76bae7d9744b7f38d2"/>
    <w:p>
      <w:pPr>
        <w:pStyle w:val="Heading1"/>
      </w:pPr>
      <w:r>
        <w:t xml:space="preserve">Educational Excellence in the Gulf: A Case Study of Secondary Education in Abu Dhabi</w:t>
      </w:r>
    </w:p>
    <w:p>
      <w:pPr>
        <w:pStyle w:val="FirstParagraph"/>
      </w:pPr>
      <w:r>
        <w:t xml:space="preserve">The landscape of education in the Middle East is undergoing a profound transformation, driven by national visions that prioritize human capital development. At the forefront of this evolution is</w:t>
      </w:r>
      <w:r>
        <w:t xml:space="preserve"> </w:t>
      </w:r>
      <w:r>
        <w:rPr>
          <w:bCs/>
          <w:b/>
        </w:rPr>
        <w:t xml:space="preserve">United Arab Emirates Abu Dhabi</w:t>
      </w:r>
      <w:r>
        <w:t xml:space="preserve">, a global hub for innovation and cultural exchange. Within this dynamic context, the role of the</w:t>
      </w:r>
      <w:r>
        <w:t xml:space="preserve"> </w:t>
      </w:r>
      <w:r>
        <w:rPr>
          <w:bCs/>
          <w:b/>
        </w:rPr>
        <w:t xml:space="preserve">Teacher Secondary</w:t>
      </w:r>
      <w:r>
        <w:t xml:space="preserve"> </w:t>
      </w:r>
      <w:r>
        <w:t xml:space="preserve">has shifted from being merely an instructor to becoming a facilitator of critical thinking, cultural bridging, and technological integration. This case study explores the complexities, challenges, and triumphs associated with secondary education in this region.</w:t>
      </w:r>
    </w:p>
    <w:bookmarkStart w:id="20" w:name="Xeef8e5e685fceb26eb984af51f130ed5f8b31ad"/>
    <w:p>
      <w:pPr>
        <w:pStyle w:val="Heading2"/>
      </w:pPr>
      <w:r>
        <w:t xml:space="preserve">The Strategic Context: Vision 2030 and Beyond</w:t>
      </w:r>
    </w:p>
    <w:p>
      <w:pPr>
        <w:pStyle w:val="FirstParagraph"/>
      </w:pPr>
      <w:r>
        <w:t xml:space="preserve">To understand the current state of education in</w:t>
      </w:r>
      <w:r>
        <w:t xml:space="preserve"> </w:t>
      </w:r>
      <w:r>
        <w:rPr>
          <w:bCs/>
          <w:b/>
        </w:rPr>
        <w:t xml:space="preserve">United Arab Emirates Abu Dhabi</w:t>
      </w:r>
      <w:r>
        <w:t xml:space="preserve">, one must first acknowledge the strategic imperative of the nation. The Abu Dhabi Education Council (ADEC), now integrated into broader educational authorities, has implemented rigorous reforms aimed at elevating international standards. The goal is to create a knowledge-based economy capable of competing on the global stage. In this ecosystem, secondary education serves as the critical bridge between foundational learning and higher education or vocational training.</w:t>
      </w:r>
    </w:p>
    <w:p>
      <w:pPr>
        <w:pStyle w:val="BodyText"/>
      </w:pPr>
      <w:r>
        <w:t xml:space="preserve">The government’s investment in infrastructure and curriculum reform is substantial. However, technology and policy are only as effective as the educators who implement them daily. This brings us to the central figure of our case study: the</w:t>
      </w:r>
      <w:r>
        <w:t xml:space="preserve"> </w:t>
      </w:r>
      <w:r>
        <w:rPr>
          <w:bCs/>
          <w:b/>
        </w:rPr>
        <w:t xml:space="preserve">Teacher Secondary</w:t>
      </w:r>
      <w:r>
        <w:t xml:space="preserve">. Whether a local Emirati national or an expatriate specialist recruited from abroad, these professionals are tasked with delivering a curriculum that is both globally competitive and culturally relevant.</w:t>
      </w:r>
    </w:p>
    <w:bookmarkEnd w:id="20"/>
    <w:bookmarkStart w:id="21" w:name="X5a8279764d023cd0568363db58b0c1f6aaab79c"/>
    <w:p>
      <w:pPr>
        <w:pStyle w:val="Heading2"/>
      </w:pPr>
      <w:r>
        <w:t xml:space="preserve">The Role of the Teacher Secondary in a Multicultural Environment</w:t>
      </w:r>
    </w:p>
    <w:p>
      <w:pPr>
        <w:pStyle w:val="FirstParagraph"/>
      </w:pPr>
      <w:r>
        <w:t xml:space="preserve">The demographic makeup of</w:t>
      </w:r>
      <w:r>
        <w:t xml:space="preserve"> </w:t>
      </w:r>
      <w:r>
        <w:rPr>
          <w:bCs/>
          <w:b/>
        </w:rPr>
        <w:t xml:space="preserve">United Arab Emirates Abu Dhabi</w:t>
      </w:r>
      <w:r>
        <w:t xml:space="preserve"> </w:t>
      </w:r>
      <w:r>
        <w:t xml:space="preserve">is uniquely diverse. Schools in the capital city host students from over 100 nationalities, alongside a growing population of Emirati students seeking to preserve their heritage while embracing global opportunities. Consequently, the</w:t>
      </w:r>
      <w:r>
        <w:t xml:space="preserve"> </w:t>
      </w:r>
      <w:r>
        <w:rPr>
          <w:bCs/>
          <w:b/>
        </w:rPr>
        <w:t xml:space="preserve">Teacher Secondary</w:t>
      </w:r>
      <w:r>
        <w:t xml:space="preserve"> </w:t>
      </w:r>
      <w:r>
        <w:t xml:space="preserve">operates in one of the most multicultural classrooms in the world.</w:t>
      </w:r>
    </w:p>
    <w:p>
      <w:pPr>
        <w:pStyle w:val="BodyText"/>
      </w:pPr>
      <w:r>
        <w:t xml:space="preserve">This diversity presents a dual challenge and opportunity. On one hand, educators must manage language barriers and varying levels of prior educational preparation among student cohorts. On the other hand, they have access to a rich tapestry of cultural perspectives that can enrich classroom discourse. For instance, in literature or social studies classes within</w:t>
      </w:r>
      <w:r>
        <w:t xml:space="preserve"> </w:t>
      </w:r>
      <w:r>
        <w:rPr>
          <w:bCs/>
          <w:b/>
        </w:rPr>
        <w:t xml:space="preserve">United Arab Emirates Abu Dhabi</w:t>
      </w:r>
      <w:r>
        <w:t xml:space="preserve">, a</w:t>
      </w:r>
    </w:p>
    <w:p>
      <w:pPr>
        <w:pStyle w:val="BodyText"/>
      </w:pPr>
      <w:r>
        <w:t xml:space="preserve">Teacher Secondary</w:t>
      </w:r>
    </w:p>
    <w:p>
      <w:pPr>
        <w:pStyle w:val="BodyText"/>
      </w:pPr>
      <w:r>
        <w:t xml:space="preserve">The success of these educators relies heavily on their adaptability. They are required to master the local curriculum standards, which often align with international benchmarks such as IB (International Baccalaureate) or British A-Levels, while simultaneously respecting and integrating local customs and values. This balance is delicate; a misstep in cultural sensitivity can undermine the learning environment, while a nuanced approach can foster deep engagement.</w:t>
      </w:r>
    </w:p>
    <w:bookmarkEnd w:id="21"/>
    <w:bookmarkStart w:id="22" w:name="X6fa766dc8cd2f3ded5273854ff33ec111dde8dd"/>
    <w:p>
      <w:pPr>
        <w:pStyle w:val="Heading2"/>
      </w:pPr>
      <w:r>
        <w:t xml:space="preserve">Pedagogical Shifts: From Rote Learning to Inquiry</w:t>
      </w:r>
    </w:p>
    <w:p>
      <w:pPr>
        <w:pStyle w:val="FirstParagraph"/>
      </w:pPr>
      <w:r>
        <w:t xml:space="preserve">Historically, education in the region was characterized by traditional lecture-based methods. However, recent reforms have pushed for a significant pedagogical shift towards inquiry-based learning and critical thinking. This transition has been particularly challenging for</w:t>
      </w:r>
      <w:r>
        <w:t xml:space="preserve"> </w:t>
      </w:r>
      <w:r>
        <w:rPr>
          <w:bCs/>
          <w:b/>
        </w:rPr>
        <w:t xml:space="preserve">Teacher Secondary</w:t>
      </w:r>
    </w:p>
    <w:p>
      <w:pPr>
        <w:pStyle w:val="BodyText"/>
      </w:pPr>
      <w:r>
        <w:t xml:space="preserve">In subjects like mathematics and sciences in</w:t>
      </w:r>
      <w:r>
        <w:t xml:space="preserve"> </w:t>
      </w:r>
      <w:r>
        <w:rPr>
          <w:bCs/>
          <w:b/>
        </w:rPr>
        <w:t xml:space="preserve">United Arab Emirates Abu Dhabi</w:t>
      </w:r>
      <w:r>
        <w:t xml:space="preserve">, teachers are now expected to move beyond formulaic problem-solving. They must encourage students to question assumptions, analyze data, and propose solutions to real-world problems. This requires a high level of professional competence and ongoing training.</w:t>
      </w:r>
    </w:p>
    <w:p>
      <w:pPr>
        <w:pStyle w:val="BodyText"/>
      </w:pPr>
      <w:r>
        <w:t xml:space="preserve">To support this transition, the government has invested heavily in professional development programs. These initiatives aim to equip</w:t>
      </w:r>
      <w:r>
        <w:t xml:space="preserve"> </w:t>
      </w:r>
      <w:r>
        <w:rPr>
          <w:bCs/>
          <w:b/>
        </w:rPr>
        <w:t xml:space="preserve">Teacher Secondary</w:t>
      </w:r>
    </w:p>
    <w:bookmarkEnd w:id="22"/>
    <w:bookmarkStart w:id="23" w:name="the-impact-of-technology-integration"/>
    <w:p>
      <w:pPr>
        <w:pStyle w:val="Heading2"/>
      </w:pPr>
      <w:r>
        <w:t xml:space="preserve">The Impact of Technology Integration</w:t>
      </w:r>
    </w:p>
    <w:p>
      <w:pPr>
        <w:pStyle w:val="FirstParagraph"/>
      </w:pPr>
      <w:r>
        <w:t xml:space="preserve">No discussion on modern education in</w:t>
      </w:r>
      <w:r>
        <w:t xml:space="preserve"> </w:t>
      </w:r>
      <w:r>
        <w:rPr>
          <w:bCs/>
          <w:b/>
        </w:rPr>
        <w:t xml:space="preserve">United Arab Emirates Abu Dhabi</w:t>
      </w:r>
    </w:p>
    <w:p>
      <w:pPr>
        <w:pStyle w:val="BodyText"/>
      </w:pPr>
      <w:r>
        <w:t xml:space="preserve">In this high-tech environment, the role of the</w:t>
      </w:r>
      <w:r>
        <w:t xml:space="preserve"> </w:t>
      </w:r>
      <w:r>
        <w:rPr>
          <w:bCs/>
          <w:b/>
        </w:rPr>
        <w:t xml:space="preserve">Teacher Secondary</w:t>
      </w:r>
    </w:p>
    <w:p>
      <w:pPr>
        <w:pStyle w:val="BodyText"/>
      </w:pPr>
      <w:r>
        <w:t xml:space="preserve">educator as a digital curator and mentor. The availability of tablets, smart boards, and AI-driven learning platforms means that content delivery is no longer the primary function of teaching. Instead, the</w:t>
      </w:r>
      <w:r>
        <w:t xml:space="preserve"> </w:t>
      </w:r>
      <w:r>
        <w:rPr>
          <w:bCs/>
          <w:b/>
        </w:rPr>
        <w:t xml:space="preserve">Teacher Secondary</w:t>
      </w:r>
    </w:p>
    <w:p>
      <w:pPr>
        <w:pStyle w:val="BodyText"/>
      </w:pPr>
      <w:r>
        <w:t xml:space="preserve">For example, in science labs across Abu Dhabi schools, students may use virtual reality headsets to explore human anatomy or physics phenomena. The teacher’s role is to guide the inquiry process, ensuring that technology serves as a tool for deeper understanding rather than a distraction. This shift demands that</w:t>
      </w:r>
      <w:r>
        <w:t xml:space="preserve"> </w:t>
      </w:r>
      <w:r>
        <w:rPr>
          <w:bCs/>
          <w:b/>
        </w:rPr>
        <w:t xml:space="preserve">Teacher Secondary</w:t>
      </w:r>
    </w:p>
    <w:bookmarkEnd w:id="23"/>
    <w:bookmarkStart w:id="24" w:name="X28526809d0ce909d0f801ef5d998d3aaee6baab"/>
    <w:p>
      <w:pPr>
        <w:pStyle w:val="Heading2"/>
      </w:pPr>
      <w:r>
        <w:t xml:space="preserve">Cultural Integration and National Identity</w:t>
      </w:r>
    </w:p>
    <w:p>
      <w:pPr>
        <w:pStyle w:val="FirstParagraph"/>
      </w:pPr>
      <w:r>
        <w:t xml:space="preserve">A unique aspect of teaching in</w:t>
      </w:r>
      <w:r>
        <w:t xml:space="preserve"> </w:t>
      </w:r>
      <w:r>
        <w:rPr>
          <w:bCs/>
          <w:b/>
        </w:rPr>
        <w:t xml:space="preserve">United Arab Emirates Abu Dhabi</w:t>
      </w:r>
    </w:p>
    <w:p>
      <w:pPr>
        <w:pStyle w:val="BodyText"/>
      </w:pPr>
      <w:r>
        <w:t xml:space="preserve">Teacher Secondary</w:t>
      </w:r>
    </w:p>
    <w:p>
      <w:pPr>
        <w:pStyle w:val="BodyText"/>
      </w:pPr>
      <w:r>
        <w:t xml:space="preserve">is deeply involved in the transmission of national identity. Emirati youth are keen to maintain their cultural roots amidst global influences.</w:t>
      </w:r>
    </w:p>
    <w:p>
      <w:pPr>
        <w:pStyle w:val="BodyText"/>
      </w:pPr>
      <w:r>
        <w:t xml:space="preserve">Teachers, regardless of their nationality, are expected to demonstrate respect for Islamic traditions and Emirati customs. This includes observing prayer times during school activities, understanding local holidays such as National Day with enthusiasm, and ensuring that content in humanities classes reflects a balanced view of history that honors the nation’s heritage. For expatriate</w:t>
      </w:r>
      <w:r>
        <w:t xml:space="preserve"> </w:t>
      </w:r>
      <w:r>
        <w:rPr>
          <w:bCs/>
          <w:b/>
        </w:rPr>
        <w:t xml:space="preserve">Teacher Secondary</w:t>
      </w:r>
    </w:p>
    <w:p>
      <w:pPr>
        <w:pStyle w:val="BodyText"/>
      </w:pPr>
      <w:r>
        <w:t xml:space="preserve">is a sign of professional maturity. Conversely, for local teachers, it is an opportunity to model leadership and cultural pride for their peers.</w:t>
      </w:r>
    </w:p>
    <w:bookmarkEnd w:id="24"/>
    <w:bookmarkStart w:id="25" w:name="challenges-and-future-outlook"/>
    <w:p>
      <w:pPr>
        <w:pStyle w:val="Heading2"/>
      </w:pPr>
      <w:r>
        <w:t xml:space="preserve">Challenges and Future Outlook</w:t>
      </w:r>
    </w:p>
    <w:p>
      <w:pPr>
        <w:pStyle w:val="FirstParagraph"/>
      </w:pPr>
      <w:r>
        <w:t xml:space="preserve">Despite the advancements, challenges remain. Recruitment and retention of high-quality</w:t>
      </w:r>
      <w:r>
        <w:t xml:space="preserve"> </w:t>
      </w:r>
      <w:r>
        <w:rPr>
          <w:bCs/>
          <w:b/>
        </w:rPr>
        <w:t xml:space="preserve">Teacher Secondary</w:t>
      </w:r>
    </w:p>
    <w:p>
      <w:pPr>
        <w:pStyle w:val="BodyText"/>
      </w:pPr>
      <w:r>
        <w:t xml:space="preserve">face intense competition from neighboring GCC countries offering similar incentives. Furthermore, the workload is often heavy, with administrative duties and parental engagement expectations adding to the pressure.</w:t>
      </w:r>
    </w:p>
    <w:p>
      <w:pPr>
        <w:pStyle w:val="BodyText"/>
      </w:pPr>
      <w:r>
        <w:t xml:space="preserve">Mental health and well-being are also emerging concerns for educators in</w:t>
      </w:r>
      <w:r>
        <w:t xml:space="preserve"> </w:t>
      </w:r>
      <w:r>
        <w:rPr>
          <w:bCs/>
          <w:b/>
        </w:rPr>
        <w:t xml:space="preserve">United Arab Emirates Abu Dhabi</w:t>
      </w:r>
    </w:p>
    <w:p>
      <w:pPr>
        <w:pStyle w:val="BodyText"/>
      </w:pPr>
      <w:r>
        <w:t xml:space="preserve">. The high-performance culture, while beneficial for student outcomes, can lead to burnout among staff if not managed effectively. Schools are increasingly recognizing the need for robust support systems, including counseling and peer-mentoring programs.</w:t>
      </w:r>
    </w:p>
    <w:p>
      <w:pPr>
        <w:pStyle w:val="BodyText"/>
      </w:pPr>
      <w:r>
        <w:t xml:space="preserve">Looking ahead, the future of</w:t>
      </w:r>
      <w:r>
        <w:t xml:space="preserve"> </w:t>
      </w:r>
      <w:r>
        <w:rPr>
          <w:bCs/>
          <w:b/>
        </w:rPr>
        <w:t xml:space="preserve">Teacher Secondary</w:t>
      </w:r>
    </w:p>
    <w:p>
      <w:pPr>
        <w:pStyle w:val="BodyText"/>
      </w:pPr>
      <w:r>
        <w:t xml:space="preserve"> </w:t>
      </w:r>
      <w:r>
        <w:t xml:space="preserve">in</w:t>
      </w:r>
      <w:r>
        <w:t xml:space="preserve"> </w:t>
      </w:r>
      <w:r>
        <w:rPr>
          <w:bCs/>
          <w:b/>
        </w:rPr>
        <w:t xml:space="preserve">United Arab Emirates Abu Dhabi</w:t>
      </w:r>
    </w:p>
    <w:bookmarkEnd w:id="25"/>
    <w:bookmarkStart w:id="26" w:name="conclusion"/>
    <w:p>
      <w:pPr>
        <w:pStyle w:val="Heading2"/>
      </w:pPr>
      <w:r>
        <w:t xml:space="preserve">Conclusion</w:t>
      </w:r>
    </w:p>
    <w:p>
      <w:pPr>
        <w:pStyle w:val="FirstParagraph"/>
      </w:pPr>
      <w:r>
        <w:t xml:space="preserve">In conclusion, the case of secondary education in</w:t>
      </w:r>
      <w:r>
        <w:t xml:space="preserve"> </w:t>
      </w:r>
      <w:r>
        <w:rPr>
          <w:bCs/>
          <w:b/>
        </w:rPr>
        <w:t xml:space="preserve">United Arab Emirates Abu Dhabi</w:t>
      </w:r>
    </w:p>
    <w:p>
      <w:pPr>
        <w:pStyle w:val="BodyText"/>
      </w:pPr>
      <w:r>
        <w:t xml:space="preserve"> </w:t>
      </w:r>
      <w:r>
        <w:t xml:space="preserve">is a testament to the transformative power of strategic vision combined with professional dedication. The</w:t>
      </w:r>
      <w:r>
        <w:t xml:space="preserve"> </w:t>
      </w:r>
      <w:r>
        <w:rPr>
          <w:bCs/>
          <w:b/>
        </w:rPr>
        <w:t xml:space="preserve">Teacher Secondary</w:t>
      </w:r>
    </w:p>
    <w:p>
      <w:pPr>
        <w:pStyle w:val="BodyText"/>
      </w:pPr>
      <w:r>
        <w:t xml:space="preserve">stands at the intersection of tradition and modernity, culture and technology. Their ability to navigate this complex landscape determines not only individual student success but also the future competitiveness of the nation.</w:t>
      </w:r>
    </w:p>
    <w:p>
      <w:pPr>
        <w:pStyle w:val="BodyText"/>
      </w:pPr>
      <w:r>
        <w:t xml:space="preserve">As</w:t>
      </w:r>
      <w:r>
        <w:t xml:space="preserve"> </w:t>
      </w:r>
      <w:r>
        <w:rPr>
          <w:bCs/>
          <w:b/>
        </w:rPr>
        <w:t xml:space="preserve">United Arab Emirates Abu Dhabi</w:t>
      </w:r>
      <w:r>
        <w:t xml:space="preserve"> </w:t>
      </w:r>
      <w:r>
        <w:t xml:space="preserve">continues to position itself as a global leader, investing in its teachers is not just an educational imperative but a national necessity. The</w:t>
      </w:r>
      <w:r>
        <w:t xml:space="preserve"> </w:t>
      </w:r>
      <w:r>
        <w:rPr>
          <w:bCs/>
          <w:b/>
        </w:rPr>
        <w:t xml:space="preserve">Teacher Secondary</w:t>
      </w:r>
    </w:p>
    <w:p>
      <w:pPr>
        <w:pStyle w:val="BodyText"/>
      </w:pPr>
      <w:r>
        <w:t xml:space="preserve">remains the cornerstone of this achievement, shaping the minds that will drive the region’s progress in the coming decades.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Education in Abu Dhabi</dc:title>
  <dc:creator/>
  <dc:language>en</dc:language>
  <cp:keywords/>
  <dcterms:created xsi:type="dcterms:W3CDTF">2026-07-29T03:55:23Z</dcterms:created>
  <dcterms:modified xsi:type="dcterms:W3CDTF">2026-07-29T03:55:23Z</dcterms:modified>
</cp:coreProperties>
</file>

<file path=docProps/custom.xml><?xml version="1.0" encoding="utf-8"?>
<Properties xmlns="http://schemas.openxmlformats.org/officeDocument/2006/custom-properties" xmlns:vt="http://schemas.openxmlformats.org/officeDocument/2006/docPropsVTypes"/>
</file>