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Secondary</w:t>
      </w:r>
      <w:r>
        <w:t xml:space="preserve"> </w:t>
      </w:r>
      <w:r>
        <w:t xml:space="preserve">Education</w:t>
      </w:r>
      <w:r>
        <w:t xml:space="preserve"> </w:t>
      </w:r>
      <w:r>
        <w:t xml:space="preserve">Teacher</w:t>
      </w:r>
      <w:r>
        <w:t xml:space="preserve"> </w:t>
      </w:r>
      <w:r>
        <w:t xml:space="preserve">Recruitment</w:t>
      </w:r>
      <w:r>
        <w:t xml:space="preserve"> </w:t>
      </w:r>
      <w:r>
        <w:t xml:space="preserve">in</w:t>
      </w:r>
      <w:r>
        <w:t xml:space="preserve"> </w:t>
      </w:r>
      <w:r>
        <w:t xml:space="preserve">Dubai</w:t>
      </w:r>
    </w:p>
    <w:bookmarkStart w:id="32" w:name="X189e8fd7325e1eeda297732086cc019fd32a6ae"/>
    <w:p>
      <w:pPr>
        <w:pStyle w:val="Heading1"/>
      </w:pPr>
      <w:r>
        <w:t xml:space="preserve">Case Study: Strategic Implementation of the Teacher Secondary Profile in the United Arab Emirates Dubai</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Middle East &amp; North Africa</w:t>
      </w:r>
      <w:r>
        <w:br/>
      </w:r>
      <w:r>
        <w:rPr>
          <w:bCs/>
          <w:b/>
        </w:rPr>
        <w:t xml:space="preserve">Institution Type:</w:t>
      </w:r>
      <w:r>
        <w:t xml:space="preserve"> </w:t>
      </w:r>
      <w:r>
        <w:t xml:space="preserve">Private K-12 International School Network</w:t>
      </w:r>
    </w:p>
    <w:bookmarkStart w:id="20" w:name="executive-summary"/>
    <w:p>
      <w:pPr>
        <w:pStyle w:val="Heading2"/>
      </w:pPr>
      <w:r>
        <w:t xml:space="preserve">1. Executive Summary</w:t>
      </w:r>
    </w:p>
    <w:p>
      <w:pPr>
        <w:pStyle w:val="FirstParagraph"/>
      </w:pPr>
      <w:r>
        <w:t xml:space="preserve">This case study examines the comprehensive recruitment, integration, and retention strategies employed by a leading international school network within</w:t>
      </w:r>
      <w:r>
        <w:t xml:space="preserve"> </w:t>
      </w:r>
      <w:r>
        <w:rPr>
          <w:bCs/>
          <w:b/>
        </w:rPr>
        <w:t xml:space="preserve">Dubai</w:t>
      </w:r>
      <w:r>
        <w:t xml:space="preserve">, a city that serves as the educational hub of the</w:t>
      </w:r>
      <w:r>
        <w:t xml:space="preserve"> </w:t>
      </w:r>
      <w:r>
        <w:rPr>
          <w:bCs/>
          <w:b/>
        </w:rPr>
        <w:t xml:space="preserve">United Arab Emirates Dubai</w:t>
      </w:r>
      <w:r>
        <w:t xml:space="preserve">. The primary focus is on securing qualified candidates for the role of</w:t>
      </w:r>
      <w:r>
        <w:t xml:space="preserve"> </w:t>
      </w:r>
      <w:r>
        <w:rPr>
          <w:iCs/>
          <w:i/>
        </w:rPr>
        <w:t xml:space="preserve">Teacher Secondary</w:t>
      </w:r>
      <w:r>
        <w:t xml:space="preserve">. As Dubai continues to position itself as a global center for innovation and multicultural exchange, the demand for high-caliber secondary educators has intensified. This document outlines how adapting hiring practices to local cultural nuances and regulatory frameworks ensures sustainable academic excellence.</w:t>
      </w:r>
    </w:p>
    <w:bookmarkEnd w:id="20"/>
    <w:bookmarkStart w:id="21" w:name="X40677d8096ca35a05ed51396a23b049604fc23b"/>
    <w:p>
      <w:pPr>
        <w:pStyle w:val="Heading2"/>
      </w:pPr>
      <w:r>
        <w:t xml:space="preserve">2. Background: The Educational Landscape in United Arab Emirates Dubai</w:t>
      </w:r>
    </w:p>
    <w:p>
      <w:pPr>
        <w:pStyle w:val="FirstParagraph"/>
      </w:pPr>
      <w:r>
        <w:t xml:space="preserve">The</w:t>
      </w:r>
      <w:r>
        <w:t xml:space="preserve"> </w:t>
      </w:r>
      <w:r>
        <w:rPr>
          <w:bCs/>
          <w:b/>
        </w:rPr>
        <w:t xml:space="preserve">United Arab Emirates Dubai</w:t>
      </w:r>
      <w:r>
        <w:t xml:space="preserve"> </w:t>
      </w:r>
      <w:r>
        <w:t xml:space="preserve">presents a unique and dynamic environment for secondary education. Unlike many Western markets, the region is characterized by a rapidly growing expatriate population comprising over 85% of residents from more than 200 nationalities. Consequently, schools in Dubai are not merely educational institutions but microcosms of global diversity.</w:t>
      </w:r>
    </w:p>
    <w:p>
      <w:pPr>
        <w:pStyle w:val="BodyText"/>
      </w:pPr>
      <w:r>
        <w:t xml:space="preserve">In this context, the role of a</w:t>
      </w:r>
      <w:r>
        <w:t xml:space="preserve"> </w:t>
      </w:r>
      <w:r>
        <w:rPr>
          <w:iCs/>
          <w:i/>
        </w:rPr>
        <w:t xml:space="preserve">Teacher Secondary</w:t>
      </w:r>
      <w:r>
        <w:t xml:space="preserve"> </w:t>
      </w:r>
      <w:r>
        <w:t xml:space="preserve">extends beyond subject matter expertise. Educators must navigate complex cultural expectations while adhering to the rigorous standards set by the Knowledge and Human Development Authority (KHDA) and the Ministry of Education (MoE). The curriculum often blends international standards, such as IB or Cambridge International, with local sensitivities regarding history, social studies, and moral education.</w:t>
      </w:r>
    </w:p>
    <w:bookmarkEnd w:id="21"/>
    <w:bookmarkStart w:id="22" w:name="problem-statement"/>
    <w:p>
      <w:pPr>
        <w:pStyle w:val="Heading2"/>
      </w:pPr>
      <w:r>
        <w:t xml:space="preserve">3. Problem Statement</w:t>
      </w:r>
    </w:p>
    <w:p>
      <w:pPr>
        <w:pStyle w:val="FirstParagraph"/>
      </w:pPr>
      <w:r>
        <w:t xml:space="preserve">The school network faced three critical challenges in staffing their secondary department:</w:t>
      </w:r>
    </w:p>
    <w:p>
      <w:pPr>
        <w:pStyle w:val="BodyText"/>
      </w:pPr>
      <w:r>
        <w:rPr>
          <w:bCs/>
          <w:b/>
        </w:rPr>
        <w:t xml:space="preserve">Cultural Misalignment:</w:t>
      </w:r>
      <w:r>
        <w:t xml:space="preserve"> </w:t>
      </w:r>
      <w:r>
        <w:t xml:space="preserve">Previous hires struggled to adapt to the conservative yet cosmopolitan social fabric of Dubai, leading to high turnover rates.</w:t>
      </w:r>
    </w:p>
    <w:p>
      <w:pPr>
        <w:pStyle w:val="BodyText"/>
      </w:pPr>
      <w:r>
        <w:rPr>
          <w:bCs/>
          <w:b/>
        </w:rPr>
        <w:t xml:space="preserve">Regulatory Compliance:United Arab Emirates Dubai</w:t>
      </w:r>
      <w:r>
        <w:t xml:space="preserve">.</w:t>
      </w:r>
    </w:p>
    <w:p>
      <w:pPr>
        <w:pStyle w:val="BodyText"/>
      </w:pPr>
      <w:r>
        <w:t xml:space="preserve">Retention of Talent: The competitive market in Dubai often sees teachers lured away by competitor offers within months of hiring, disrupting student continuity.</w:t>
      </w:r>
    </w:p>
    <w:bookmarkEnd w:id="22"/>
    <w:bookmarkStart w:id="26" w:name="Xeff881fa4edf182a11e244785259db2bc065c62"/>
    <w:p>
      <w:pPr>
        <w:pStyle w:val="Heading2"/>
      </w:pPr>
      <w:r>
        <w:t xml:space="preserve">4. Strategic Approach: Defining the Ideal 'Teacher Secondary' Profile</w:t>
      </w:r>
    </w:p>
    <w:p>
      <w:pPr>
        <w:pStyle w:val="FirstParagraph"/>
      </w:pPr>
      <w:r>
        <w:t xml:space="preserve">To address these challenges, the HR department redefined the job description for a</w:t>
      </w:r>
      <w:r>
        <w:t xml:space="preserve"> </w:t>
      </w:r>
      <w:r>
        <w:t xml:space="preserve">, moving beyond traditional metrics. The new profile emphasized three core pillars:</w:t>
      </w:r>
    </w:p>
    <w:bookmarkStart w:id="23" w:name="X7cfd18eff1ffadc8d61b391cdf6570cff3c77e1"/>
    <w:p>
      <w:pPr>
        <w:pStyle w:val="Heading3"/>
      </w:pPr>
      <w:r>
        <w:t xml:space="preserve">A. Cultural Intelligence (CQ) Over Academic Pedigree Alone</w:t>
      </w:r>
    </w:p>
    <w:p>
      <w:pPr>
        <w:pStyle w:val="FirstParagraph"/>
      </w:pPr>
      <w:r>
        <w:t xml:space="preserve">While academic qualifications remained non-negotiable, interview panels prioritized candidates with proven experience in multicultural environments or those demonstrating a genuine interest in Middle Eastern culture. Behavioral questions focused on adaptability, respect for local customs, and the ability to build rapport with parents from diverse backgrounds.</w:t>
      </w:r>
    </w:p>
    <w:bookmarkEnd w:id="23"/>
    <w:bookmarkStart w:id="24" w:name="b.-regulatory-literacy"/>
    <w:p>
      <w:pPr>
        <w:pStyle w:val="Heading3"/>
      </w:pPr>
      <w:r>
        <w:t xml:space="preserve">B. Regulatory Literacy</w:t>
      </w:r>
    </w:p>
    <w:p>
      <w:pPr>
        <w:pStyle w:val="FirstParagraph"/>
      </w:pPr>
      <w:r>
        <w:t xml:space="preserve">The recruitment process included an orientation phase where candidates were educated about the legal framework governing education in Dubai. This transparency reduced anxiety among prospective hires and filtered out those unwilling to commit to the long-term bureaucratic processes inherent in the</w:t>
      </w:r>
      <w:r>
        <w:t xml:space="preserve"> </w:t>
      </w:r>
      <w:r>
        <w:rPr>
          <w:bCs/>
          <w:b/>
        </w:rPr>
        <w:t xml:space="preserve">United Arab Emirates Dubai</w:t>
      </w:r>
      <w:r>
        <w:t xml:space="preserve">.</w:t>
      </w:r>
    </w:p>
    <w:bookmarkEnd w:id="24"/>
    <w:bookmarkStart w:id="25" w:name="c.-holistic-student-support"/>
    <w:p>
      <w:pPr>
        <w:pStyle w:val="Heading3"/>
      </w:pPr>
      <w:r>
        <w:t xml:space="preserve">C. Holistic Student Support</w:t>
      </w:r>
    </w:p>
    <w:p>
      <w:pPr>
        <w:pStyle w:val="FirstParagraph"/>
      </w:pPr>
      <w:r>
        <w:t xml:space="preserve">The</w:t>
      </w:r>
      <w:r>
        <w:t xml:space="preserve"> </w:t>
      </w:r>
      <w:r>
        <w:t xml:space="preserve"> </w:t>
      </w:r>
      <w:r>
        <w:t xml:space="preserve">was expected to act as a mentor, not just an instructor. Given the transient nature of Dubai’s population, students often face identity crises and academic gaps. The ideal candidate demonstrated experience in pastoral care and differentiated instruction for non-native English speakers.</w:t>
      </w:r>
    </w:p>
    <w:bookmarkEnd w:id="25"/>
    <w:bookmarkEnd w:id="26"/>
    <w:bookmarkStart w:id="27" w:name="implementation-process"/>
    <w:p>
      <w:pPr>
        <w:pStyle w:val="Heading2"/>
      </w:pPr>
      <w:r>
        <w:t xml:space="preserve">5. Implementation Process</w:t>
      </w:r>
    </w:p>
    <w:p>
      <w:pPr>
        <w:pStyle w:val="FirstParagraph"/>
      </w:pPr>
      <w:r>
        <w:t xml:space="preserve">The recruitment strategy was executed in four phases:</w:t>
      </w:r>
    </w:p>
    <w:p>
      <w:pPr>
        <w:numPr>
          <w:ilvl w:val="0"/>
          <w:numId w:val="1001"/>
        </w:numPr>
        <w:pStyle w:val="Compact"/>
      </w:pPr>
      <w:r>
        <w:rPr>
          <w:bCs/>
          <w:b/>
        </w:rPr>
        <w:t xml:space="preserve">Sourcing:</w:t>
      </w:r>
      <w:r>
        <w:t xml:space="preserve">The network partnered with specialized recruitment agencies that focus exclusively on international education in the Gulf region. They avoided generic job boards, focusing instead on professional networks and referrals from current successful staff.</w:t>
      </w:r>
    </w:p>
    <w:p>
      <w:pPr>
        <w:numPr>
          <w:ilvl w:val="0"/>
          <w:numId w:val="1001"/>
        </w:numPr>
        <w:pStyle w:val="Compact"/>
      </w:pPr>
      <w:r>
        <w:rPr>
          <w:bCs/>
          <w:b/>
        </w:rPr>
        <w:t xml:space="preserve">Vetting:</w:t>
      </w:r>
      <w:r>
        <w:t xml:space="preserve">Candidates underwent a multi-stage interview process involving subject head interviews, trial teaching sessions (recorded for review), and final meetings with senior leadership. Special attention was paid to the candidate’s digital footprint to ensure alignment with UAE laws regarding public conduct online.</w:t>
      </w:r>
    </w:p>
    <w:bookmarkEnd w:id="27"/>
    <w:bookmarkStart w:id="28" w:name="results-and-outcomes"/>
    <w:p>
      <w:pPr>
        <w:pStyle w:val="Heading2"/>
      </w:pPr>
      <w:r>
        <w:t xml:space="preserve">6. Results and Outcomes</w:t>
      </w:r>
    </w:p>
    <w:p>
      <w:pPr>
        <w:pStyle w:val="FirstParagraph"/>
      </w:pPr>
      <w:r>
        <w:t xml:space="preserve">The implementation of this targeted strategy yielded significant improvements over a two-year period:</w:t>
      </w:r>
    </w:p>
    <w:p>
      <w:pPr>
        <w:numPr>
          <w:ilvl w:val="0"/>
          <w:numId w:val="1002"/>
        </w:numPr>
        <w:pStyle w:val="Compact"/>
      </w:pPr>
      <w:r>
        <w:t xml:space="preserve"> </w:t>
      </w:r>
      <w:r>
        <w:t xml:space="preserve">Retention increased by 40%. The number of resignations within the first year dropped drastically, indicating that candidates who felt culturally prepared were more likely to stay.</w:t>
      </w:r>
    </w:p>
    <w:p>
      <w:pPr>
        <w:numPr>
          <w:ilvl w:val="0"/>
          <w:numId w:val="1002"/>
        </w:numPr>
        <w:pStyle w:val="Compact"/>
      </w:pPr>
      <w:r>
        <w:t xml:space="preserve">Improved Student Outcomes: Students in secondary levels under these new teachers showed a 15% improvement in overall academic performance, attributed to better classroom management and cultural responsiveness.</w:t>
      </w:r>
    </w:p>
    <w:p>
      <w:pPr>
        <w:numPr>
          <w:ilvl w:val="0"/>
          <w:numId w:val="1002"/>
        </w:numPr>
        <w:pStyle w:val="Compact"/>
      </w:pPr>
      <w:r>
        <w:t xml:space="preserve">Positive Stakeholder Feedback: Parent satisfaction surveys highlighted improved communication and a greater sense of community inclusion, noting that teachers respected local traditions while maintaining high international standards.</w:t>
      </w:r>
    </w:p>
    <w:p>
      <w:pPr>
        <w:numPr>
          <w:ilvl w:val="0"/>
          <w:numId w:val="1002"/>
        </w:numPr>
        <w:pStyle w:val="Compact"/>
      </w:pPr>
      <w:r>
        <w:t xml:space="preserve">Operational Efficiency: The clear understanding of regulatory requirements reduced legal complications and visa processing delays by 60%.</w:t>
      </w:r>
    </w:p>
    <w:bookmarkEnd w:id="28"/>
    <w:bookmarkStart w:id="29" w:name="challenges-encountered"/>
    <w:p>
      <w:pPr>
        <w:pStyle w:val="Heading2"/>
      </w:pPr>
      <w:r>
        <w:t xml:space="preserve">7. Challenges Encountered</w:t>
      </w:r>
    </w:p>
    <w:p>
      <w:pPr>
        <w:pStyle w:val="FirstParagraph"/>
      </w:pPr>
      <w:r>
        <w:t xml:space="preserve">The transition was not without difficulties. Some candidates from Western educational systems initially resisted certain aspects of the</w:t>
      </w:r>
      <w:r>
        <w:t xml:space="preserve"> </w:t>
      </w:r>
      <w:r>
        <w:t xml:space="preserve">, such as gender-segregated events during school activities or specific dress codes expected of staff in public-facing roles. However, through continuous dialogue and clear policy communication, these tensions were resolved into mutual respect.</w:t>
      </w:r>
    </w:p>
    <w:p>
      <w:pPr>
        <w:pStyle w:val="BodyText"/>
      </w:pPr>
      <w:r>
        <w:t xml:space="preserve">Additionally, the cost of recruitment increased due to the premium placed on cultural fit and specialized sourcing. However, this was offset by the reduced costs associated with frequent re-hiring and remedial training for underperforming staff.</w:t>
      </w:r>
    </w:p>
    <w:bookmarkEnd w:id="29"/>
    <w:bookmarkStart w:id="30" w:name="recommendations-for-future-practice"/>
    <w:p>
      <w:pPr>
        <w:pStyle w:val="Heading2"/>
      </w:pPr>
      <w:r>
        <w:t xml:space="preserve">8. Recommendations for Future Practice</w:t>
      </w:r>
    </w:p>
    <w:p>
      <w:pPr>
        <w:pStyle w:val="FirstParagraph"/>
      </w:pPr>
      <w:r>
        <w:t xml:space="preserve">Based on this case study, it is recommended that schools in</w:t>
      </w:r>
      <w:r>
        <w:t xml:space="preserve"> </w:t>
      </w:r>
      <w:r>
        <w:rPr>
          <w:bCs/>
          <w:b/>
        </w:rPr>
        <w:t xml:space="preserve">Dubai</w:t>
      </w:r>
      <w:r>
        <w:t xml:space="preserve"> </w:t>
      </w:r>
      <w:r>
        <w:t xml:space="preserve">continue to prioritize cultural intelligence in the hiring of a</w:t>
      </w:r>
      <w:r>
        <w:t xml:space="preserve"> </w:t>
      </w:r>
      <w:r>
        <w:t xml:space="preserve">. Future strategies should include:</w:t>
      </w:r>
    </w:p>
    <w:p>
      <w:pPr>
        <w:numPr>
          <w:ilvl w:val="0"/>
          <w:numId w:val="1003"/>
        </w:numPr>
        <w:pStyle w:val="Compact"/>
      </w:pPr>
      <w:r>
        <w:t xml:space="preserve">Long-term relationship building with universities that produce teachers interested in global careers.</w:t>
      </w:r>
    </w:p>
    <w:p>
      <w:pPr>
        <w:numPr>
          <w:ilvl w:val="0"/>
          <w:numId w:val="1003"/>
        </w:numPr>
        <w:pStyle w:val="Compact"/>
      </w:pPr>
      <w:r>
        <w:t xml:space="preserve">Ongoing professional development focused on cross-cultural communication for all staff, not just new hires.</w:t>
      </w:r>
    </w:p>
    <w:bookmarkEnd w:id="30"/>
    <w:bookmarkStart w:id="31" w:name="conclusion"/>
    <w:p>
      <w:pPr>
        <w:pStyle w:val="Heading2"/>
      </w:pPr>
      <w:r>
        <w:t xml:space="preserve">9. Conclusion</w:t>
      </w:r>
    </w:p>
    <w:p>
      <w:pPr>
        <w:pStyle w:val="FirstParagraph"/>
      </w:pPr>
      <w:r>
        <w:t xml:space="preserve">The successful recruitment of a</w:t>
      </w:r>
      <w:r>
        <w:t xml:space="preserve"> </w:t>
      </w:r>
      <w:r>
        <w:t xml:space="preserve">, is not merely an administrative task but a strategic imperative for educational institutions in</w:t>
      </w:r>
      <w:r>
        <w:t xml:space="preserve"> </w:t>
      </w:r>
      <w:r>
        <w:rPr>
          <w:bCs/>
          <w:b/>
        </w:rPr>
        <w:t xml:space="preserve">Dubai</w:t>
      </w:r>
      <w:r>
        <w:t xml:space="preserve">. By recognizing the unique socio-cultural and regulatory landscape of the</w:t>
      </w:r>
      <w:r>
        <w:t xml:space="preserve"> </w:t>
      </w:r>
      <w:r>
        <w:rPr>
          <w:bCs/>
          <w:b/>
        </w:rPr>
        <w:t xml:space="preserve">United Arab Emirates Dubai</w:t>
      </w:r>
      <w:r>
        <w:t xml:space="preserve">, schools can attract educators who are not only academically qualified but also culturally competent. This holistic approach fosters a stable, supportive, and high-performing learning environment for students in one of the world’s most dynamic educational markets.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Secondary Education Teacher Recruitment in Dubai</dc:title>
  <dc:creator/>
  <dc:language>en</dc:language>
  <cp:keywords/>
  <dcterms:created xsi:type="dcterms:W3CDTF">2026-07-29T17:57:30Z</dcterms:created>
  <dcterms:modified xsi:type="dcterms:W3CDTF">2026-07-29T17:57:30Z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