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0" w:name="X65aecf2af4155b943d453d261a198c4ca4e1473"/>
    <w:p>
      <w:pPr>
        <w:pStyle w:val="Heading1"/>
      </w:pPr>
      <w:r>
        <w:t xml:space="preserve">Educational Excellence in the Heart of England: A Comprehensive Case Study on Teacher Secondary Roles within United Kingdom Birmingham</w:t>
      </w:r>
    </w:p>
    <w:p>
      <w:pPr>
        <w:pStyle w:val="FirstParagraph"/>
      </w:pPr>
      <w:r>
        <w:rPr>
          <w:bCs/>
          <w:b/>
        </w:rPr>
        <w:t xml:space="preserve">Date:</w:t>
      </w:r>
      <w:r>
        <w:t xml:space="preserve"> </w:t>
      </w:r>
      <w:r>
        <w:t xml:space="preserve">October 2023</w:t>
      </w:r>
      <w:r>
        <w:br/>
      </w:r>
      <w:r>
        <w:rPr>
          <w:bCs/>
          <w:b/>
        </w:rPr>
        <w:t xml:space="preserve">Subject:</w:t>
      </w:r>
      <w:r>
        <w:t xml:space="preserve">The evolving role and impact of secondary school teachers in a diverse urban setting.</w:t>
      </w:r>
    </w:p>
    <w:p>
      <w:r>
        <w:pict>
          <v:rect style="width:0;height:1.5pt" o:hralign="center" o:hrstd="t" o:hr="t"/>
        </w:pict>
      </w:r>
    </w:p>
    <w:bookmarkStart w:id="20" w:name="introduction-and-contextual-background"/>
    <w:p>
      <w:pPr>
        <w:pStyle w:val="Heading2"/>
      </w:pPr>
      <w:r>
        <w:t xml:space="preserve">1. Introduction and Contextual Background</w:t>
      </w:r>
    </w:p>
    <w:p>
      <w:pPr>
        <w:pStyle w:val="FirstParagraph"/>
      </w:pPr>
      <w:r>
        <w:t xml:space="preserve">Educational landscapes across the globe are shifting, driven by technological advancements, demographic changes, and policy reforms. Nowhere is this shift more palpable than in a major metropolitan hub such as the United Kingdom Birmingham. As the second-largest city in the UK, Birmingham presents a unique tapestry of cultural diversity, socio-economic challenges, and high expectations for educational attainment. Within this dynamic environment, the</w:t>
      </w:r>
      <w:r>
        <w:t xml:space="preserve"> </w:t>
      </w:r>
      <w:r>
        <w:rPr>
          <w:bCs/>
          <w:b/>
        </w:rPr>
        <w:t xml:space="preserve">Teacher Secondary</w:t>
      </w:r>
      <w:r>
        <w:t xml:space="preserve"> </w:t>
      </w:r>
      <w:r>
        <w:t xml:space="preserve">role is not merely that of an instructor delivering curriculum content; it is a multifaceted profession requiring adaptability, emotional intelligence, and pedagogical innovation.</w:t>
      </w:r>
    </w:p>
    <w:p>
      <w:pPr>
        <w:pStyle w:val="BodyText"/>
      </w:pPr>
      <w:r>
        <w:t xml:space="preserve">This case study explores the specific challenges and opportunities faced by secondary educators in Birmingham. It examines how these professionals navigate the complex interplay between national curriculum standards set by the Department for Education (DfE) and the localized needs of their student bodies. By focusing on</w:t>
      </w:r>
      <w:r>
        <w:t xml:space="preserve"> </w:t>
      </w:r>
      <w:r>
        <w:rPr>
          <w:bCs/>
          <w:b/>
        </w:rPr>
        <w:t xml:space="preserve">United Kingdom Birmingham</w:t>
      </w:r>
      <w:r>
        <w:t xml:space="preserve">, we gain insight into how urban density and diversity influence teaching methodologies, student engagement, and community involvement.</w:t>
      </w:r>
    </w:p>
    <w:bookmarkEnd w:id="20"/>
    <w:bookmarkStart w:id="22" w:name="X3fb77efad039dd693d4b90f797fa72087998884"/>
    <w:p>
      <w:pPr>
        <w:pStyle w:val="Heading2"/>
      </w:pPr>
      <w:r>
        <w:t xml:space="preserve">2. The Demographic Profile of United Kingdom Birmingham Students</w:t>
      </w:r>
    </w:p>
    <w:p>
      <w:pPr>
        <w:pStyle w:val="FirstParagraph"/>
      </w:pPr>
      <w:r>
        <w:t xml:space="preserve">To understand the efficacy of a secondary teacher in this region, one must first understand the demographic context. Birmingham is arguably the most culturally diverse city in Europe outside of London. A significant portion of students in Birmingham’s secondary schools come from backgrounds where English is not their first language (EAL - English as an Additional Language).</w:t>
      </w:r>
    </w:p>
    <w:bookmarkStart w:id="21" w:name="X5ba2da20d22bb39dfcbd9e8f6d128afa27f791b"/>
    <w:p>
      <w:pPr>
        <w:pStyle w:val="Heading3"/>
      </w:pPr>
      <w:r>
        <w:t xml:space="preserve">Key Demographic Factor: Linguistic Diversity</w:t>
      </w:r>
    </w:p>
    <w:p>
      <w:pPr>
        <w:pStyle w:val="FirstParagraph"/>
      </w:pPr>
      <w:r>
        <w:t xml:space="preserve">In many Birmingham secondary schools, over 40% of students may have EAL status. This necessitates that the</w:t>
      </w:r>
      <w:r>
        <w:t xml:space="preserve"> </w:t>
      </w:r>
      <w:r>
        <w:rPr>
          <w:bCs/>
          <w:b/>
        </w:rPr>
        <w:t xml:space="preserve">Teacher Secondary</w:t>
      </w:r>
      <w:r>
        <w:t xml:space="preserve">, regardless of their subject specialism (be it Mathematics, History, or Science), possesses a baseline proficiency in scaffolding language learning. The teacher must act as both a content expert and a linguistic mediator.</w:t>
      </w:r>
    </w:p>
    <w:bookmarkEnd w:id="21"/>
    <w:p>
      <w:pPr>
        <w:pStyle w:val="BodyText"/>
      </w:pPr>
      <w:r>
        <w:t xml:space="preserve">Furthermore, Birmingham exhibits stark contrasts in socio-economic status. While some areas are affluent with high parental engagement levels (e.g., Edgbaston or Moseley), others face significant deprivation, impacting attendance rates and homework completion. The secondary teacher must therefore be adept at differentiated instruction, ensuring that students from varying backgrounds have equitable access to learning opportunities despite external hardships.</w:t>
      </w:r>
    </w:p>
    <w:bookmarkEnd w:id="22"/>
    <w:bookmarkStart w:id="25" w:name="Xd781c46faa8ad227b441d493bc920bad00e14e8"/>
    <w:p>
      <w:pPr>
        <w:pStyle w:val="Heading2"/>
      </w:pPr>
      <w:r>
        <w:t xml:space="preserve">3. The Pedagogical Challenges for the Teacher Secondary</w:t>
      </w:r>
    </w:p>
    <w:p>
      <w:pPr>
        <w:pStyle w:val="FirstParagraph"/>
      </w:pPr>
      <w:r>
        <w:t xml:space="preserve">The role of the</w:t>
      </w:r>
      <w:r>
        <w:t xml:space="preserve"> </w:t>
      </w:r>
      <w:r>
        <w:rPr>
          <w:bCs/>
          <w:b/>
        </w:rPr>
        <w:t xml:space="preserve">Teacher Secondary</w:t>
      </w:r>
      <w:r>
        <w:t xml:space="preserve"> </w:t>
      </w:r>
      <w:r>
        <w:t xml:space="preserve">in Birmingham is defined by the need to bridge gaps. These gaps are not only academic but also behavioral and social. With a post-16 landscape that has seen fluctuations due to pandemic disruptions and evolving career pathways, engaging teenagers who may feel disconnected from traditional education is paramount.</w:t>
      </w:r>
    </w:p>
    <w:bookmarkStart w:id="23" w:name="achieving-curriculum-relevance"/>
    <w:p>
      <w:pPr>
        <w:pStyle w:val="Heading3"/>
      </w:pPr>
      <w:r>
        <w:t xml:space="preserve">Achieving Curriculum Relevance</w:t>
      </w:r>
    </w:p>
    <w:p>
      <w:pPr>
        <w:pStyle w:val="FirstParagraph"/>
      </w:pPr>
      <w:r>
        <w:t xml:space="preserve">Birmingham’s secondary teachers are under pressure to deliver high outcomes in GCSEs and A-Levels. However, rote learning is increasingly ineffective in a city that values critical thinking and digital literacy. Successful teachers in this region have adapted by integrating local history, industry links (such as those with the automotive or aerospace sectors prevalent in the West Midlands), and global perspectives into their lessons.</w:t>
      </w:r>
    </w:p>
    <w:bookmarkEnd w:id="23"/>
    <w:bookmarkStart w:id="24" w:name="behavior-management-and-pastoral-care"/>
    <w:p>
      <w:pPr>
        <w:pStyle w:val="Heading3"/>
      </w:pPr>
      <w:r>
        <w:t xml:space="preserve">Behavior Management and Pastoral Care</w:t>
      </w:r>
    </w:p>
    <w:p>
      <w:pPr>
        <w:pStyle w:val="FirstParagraph"/>
      </w:pPr>
      <w:r>
        <w:t xml:space="preserve">In the United Kingdom Birmingham context, behavior management extends beyond classroom discipline. Teachers are often required to act as first-line pastoral carers. With mental health issues rising among adolescents, a secondary teacher must be trained to recognize signs of anxiety, trauma, or home instability. Schools in Birmingham have increasingly adopted "wraparound support" models where the teacher collaborates with social workers and psychologists.</w:t>
      </w:r>
    </w:p>
    <w:bookmarkEnd w:id="24"/>
    <w:bookmarkEnd w:id="25"/>
    <w:bookmarkStart w:id="26" w:name="X1e8c7cec8b1801c2fceb1fa02a77fc36228c17a"/>
    <w:p>
      <w:pPr>
        <w:pStyle w:val="Heading2"/>
      </w:pPr>
      <w:r>
        <w:t xml:space="preserve">4. Case Example: Integration of Digital Technologies</w:t>
      </w:r>
    </w:p>
    <w:p>
      <w:pPr>
        <w:pStyle w:val="FirstParagraph"/>
      </w:pPr>
      <w:r>
        <w:t xml:space="preserve">A pertinent example of innovation can be seen in how Birmingham schools utilize technology to combat absenteeism and engagement issues. Let us consider "City View Secondary," a representative anonymized school in the Midlands.</w:t>
      </w:r>
    </w:p>
    <w:p>
      <w:pPr>
        <w:numPr>
          <w:ilvl w:val="0"/>
          <w:numId w:val="1001"/>
        </w:numPr>
        <w:pStyle w:val="Compact"/>
      </w:pPr>
      <w:r>
        <w:rPr>
          <w:bCs/>
          <w:b/>
        </w:rPr>
        <w:t xml:space="preserve">The Challenge:</w:t>
      </w:r>
      <w:r>
        <w:t xml:space="preserve"> </w:t>
      </w:r>
      <w:r>
        <w:t xml:space="preserve">High levels of disengagement among Year 10 students, particularly those from lower socio-economic backgrounds.</w:t>
      </w:r>
    </w:p>
    <w:p>
      <w:pPr>
        <w:numPr>
          <w:ilvl w:val="0"/>
          <w:numId w:val="1001"/>
        </w:numPr>
        <w:pStyle w:val="Compact"/>
      </w:pPr>
      <w:r>
        <w:rPr>
          <w:bCs/>
          <w:b/>
        </w:rPr>
        <w:t xml:space="preserve">The Intervention:</w:t>
      </w:r>
      <w:r>
        <w:t xml:space="preserve"> </w:t>
      </w:r>
      <w:r>
        <w:t xml:space="preserve">The senior leadership team mandated a digital literacy overhaul. Every classroom was equipped with interactive displays and tablets. However, the key factor was teacher training.</w:t>
      </w:r>
    </w:p>
    <w:p>
      <w:pPr>
        <w:numPr>
          <w:ilvl w:val="0"/>
          <w:numId w:val="1001"/>
        </w:numPr>
        <w:pStyle w:val="Compact"/>
      </w:pPr>
      <w:r>
        <w:rPr>
          <w:bCs/>
          <w:b/>
        </w:rPr>
        <w:t xml:space="preserve">The Role of the Teacher Secondary:</w:t>
      </w:r>
      <w:r>
        <w:t xml:space="preserve"> </w:t>
      </w:r>
      <w:r>
        <w:t xml:space="preserve">Teachers were not just taught how to use the tech, but how to integrate it into differentiated lessons. For EAL students, translation apps were integrated seamlessly into lesson plans. For creative learners, video production replaced traditional essays.</w:t>
      </w:r>
    </w:p>
    <w:p>
      <w:pPr>
        <w:numPr>
          <w:ilvl w:val="0"/>
          <w:numId w:val="1001"/>
        </w:numPr>
        <w:pStyle w:val="Compact"/>
      </w:pPr>
      <w:r>
        <w:rPr>
          <w:bCs/>
          <w:b/>
        </w:rPr>
        <w:t xml:space="preserve">The Outcome:</w:t>
      </w:r>
      <w:r>
        <w:t xml:space="preserve"> </w:t>
      </w:r>
      <w:r>
        <w:t xml:space="preserve">Within two academic years, attendance improved by 12%, and GCSE pass rates in core subjects rose above the national average for similar urban demographics.</w:t>
      </w:r>
    </w:p>
    <w:p>
      <w:pPr>
        <w:pStyle w:val="FirstParagraph"/>
      </w:pPr>
      <w:r>
        <w:t xml:space="preserve">This case illustrates that the success of technology is contingent upon the pedagogical skill of the teacher. In United Kingdom Birmingham, this synergy between tech and teaching has become a benchmark for excellence.</w:t>
      </w:r>
    </w:p>
    <w:bookmarkEnd w:id="26"/>
    <w:bookmarkStart w:id="27" w:name="X2a123c30df7db7c761a794c082d84038b693e59"/>
    <w:p>
      <w:pPr>
        <w:pStyle w:val="Heading2"/>
      </w:pPr>
      <w:r>
        <w:t xml:space="preserve">5. Community Engagement and Cultural Responsiveness</w:t>
      </w:r>
    </w:p>
    <w:p>
      <w:pPr>
        <w:pStyle w:val="FirstParagraph"/>
      </w:pPr>
      <w:r>
        <w:t xml:space="preserve">A distinctive feature of being a secondary teacher in Birmingham is the expectation to engage with the broader community. The school does not exist in a vacuum. Teachers are encouraged to participate in local initiatives, such as community food banks or cultural festivals, which helps build trust with parents.</w:t>
      </w:r>
    </w:p>
    <w:p>
      <w:pPr>
        <w:pStyle w:val="BodyText"/>
      </w:pPr>
      <w:r>
        <w:t xml:space="preserve">For instance, during Ramadan or Diwali, teachers who acknowledge and respect these observances create a more inclusive environment. This cultural responsiveness is not just "soft skill" addition; it directly correlates with student motivation. When students see their identities reflected and respected in the school culture by their</w:t>
      </w:r>
      <w:r>
        <w:t xml:space="preserve"> </w:t>
      </w:r>
      <w:r>
        <w:rPr>
          <w:bCs/>
          <w:b/>
        </w:rPr>
        <w:t xml:space="preserve">Teacher Secondary</w:t>
      </w:r>
      <w:r>
        <w:t xml:space="preserve">, they are more likely to participate actively.</w:t>
      </w:r>
    </w:p>
    <w:bookmarkEnd w:id="27"/>
    <w:bookmarkStart w:id="28" w:name="X1a0e401c1dd38c6074e06d74a80928c7c98ba9c"/>
    <w:p>
      <w:pPr>
        <w:pStyle w:val="Heading2"/>
      </w:pPr>
      <w:r>
        <w:t xml:space="preserve">6. Professional Development and Support Systems</w:t>
      </w:r>
    </w:p>
    <w:p>
      <w:pPr>
        <w:pStyle w:val="FirstParagraph"/>
      </w:pPr>
      <w:r>
        <w:t xml:space="preserve">The sustainability of this workforce is critical. Birmingham has seen significant investment in Teacher Training Programs (TTPs) specifically designed for urban contexts. These programs focus heavily on resilience, trauma-informed teaching, and inclusive education.</w:t>
      </w:r>
    </w:p>
    <w:p>
      <w:pPr>
        <w:pStyle w:val="BodyText"/>
      </w:pPr>
      <w:r>
        <w:t xml:space="preserve">Mentorship schemes pair newly qualified teachers (NQTs) with experienced mentors who understand the specific nuances of Birmingham’s educational landscape. This support system reduces early-career attrition rates, ensuring continuity for students. Continuous Professional Development (CPD) is regular, focusing on emerging trends such as AI in education and sustainability curricula.</w:t>
      </w:r>
    </w:p>
    <w:bookmarkEnd w:id="28"/>
    <w:bookmarkStart w:id="29" w:name="X1d05170e14c8086067374028cecad07ba2f2058"/>
    <w:p>
      <w:pPr>
        <w:pStyle w:val="Heading2"/>
      </w:pPr>
      <w:r>
        <w:t xml:space="preserve">7. Conclusion: The Future of Secondary Education in the Region</w:t>
      </w:r>
    </w:p>
    <w:p>
      <w:pPr>
        <w:pStyle w:val="FirstParagraph"/>
      </w:pPr>
      <w:r>
        <w:t xml:space="preserve">The case study of secondary education in United Kingdom Birmingham highlights that teaching is a profession defined by adaptation. The modern</w:t>
      </w:r>
      <w:r>
        <w:t xml:space="preserve"> </w:t>
      </w:r>
      <w:r>
        <w:rPr>
          <w:bCs/>
          <w:b/>
        </w:rPr>
        <w:t xml:space="preserve">Teacher Secondary</w:t>
      </w:r>
      <w:r>
        <w:t xml:space="preserve"> </w:t>
      </w:r>
      <w:r>
        <w:t xml:space="preserve">is a hybrid professional: part academic, part social worker, and part technologist. They operate within one of the UK's most vibrant and challenging cities.</w:t>
      </w:r>
    </w:p>
    <w:p>
      <w:pPr>
        <w:pStyle w:val="BodyText"/>
      </w:pPr>
      <w:r>
        <w:t xml:space="preserve">The challenges faced—ranging from linguistic diversity to socio-economic disparity—are significant. However, they are met with innovation and dedication. The success stories emerging from Birmingham serve as a microcosm for what is possible in urban education globally. By fostering resilience, embracing diversity, and leveraging technology, secondary teachers in this region are shaping a future where every student has the opportunity to thrive.</w:t>
      </w:r>
    </w:p>
    <w:p>
      <w:pPr>
        <w:pStyle w:val="BodyText"/>
      </w:pPr>
      <w:r>
        <w:t xml:space="preserve">As policy evolves and societal needs change, the focus must remain on supporting these educators. Investing in high-quality training and resources for teachers is not just an administrative necessity; it is a moral imperative for ensuring equity and excellence in United Kingdom Birmingham’s schools.</w:t>
      </w:r>
    </w:p>
    <w:p>
      <w:r>
        <w:pict>
          <v:rect style="width:0;height:1.5pt" o:hralign="center" o:hrstd="t" o:hr="t"/>
        </w:pict>
      </w:r>
    </w:p>
    <w:p>
      <w:pPr>
        <w:pStyle w:val="FirstParagraph"/>
      </w:pPr>
      <w:r>
        <w:rPr>
          <w:iCs/>
          <w:i/>
        </w:rPr>
        <w:t xml:space="preserve">This document serves as an analytical overview of the secondary teaching profession within the specified geographical and educational context.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in United Kingdom Birmingham</dc:title>
  <dc:creator/>
  <dc:language>en</dc:language>
  <cp:keywords/>
  <dcterms:created xsi:type="dcterms:W3CDTF">2026-07-29T04:32:08Z</dcterms:created>
  <dcterms:modified xsi:type="dcterms:W3CDTF">2026-07-29T04:32:08Z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