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706a0453ad0b0874f9cbd16ce33627a6d002383"/>
    <w:p>
      <w:pPr>
        <w:pStyle w:val="Heading1"/>
      </w:pPr>
      <w:r>
        <w:t xml:space="preserve">Case Study: The Evolution and Impact of Teacher Secondary Education in United Kingdom London</w:t>
      </w:r>
    </w:p>
    <w:p>
      <w:pPr>
        <w:pStyle w:val="FirstParagraph"/>
      </w:pPr>
      <w:r>
        <w:rPr>
          <w:bCs/>
          <w:b/>
        </w:rPr>
        <w:t xml:space="preserve">Date:</w:t>
      </w:r>
      <w:r>
        <w:t xml:space="preserve"> </w:t>
      </w:r>
      <w:r>
        <w:t xml:space="preserve">October 26, 2023</w:t>
      </w:r>
      <w:r>
        <w:br/>
      </w:r>
      <w:r>
        <w:rPr>
          <w:bCs/>
          <w:b/>
        </w:rPr>
        <w:t xml:space="preserve">Subject:</w:t>
      </w:r>
      <w:r>
        <w:t xml:space="preserve">An in-depth analysis of the pedagogical shifts, challenges, and strategic adaptations within the secondary education sector.</w:t>
      </w:r>
      <w:r>
        <w:br/>
      </w:r>
      <w:r>
        <w:rPr>
          <w:bCs/>
          <w:b/>
        </w:rPr>
        <w:t xml:space="preserve">Location Focus:</w:t>
      </w:r>
      <w:r>
        <w:t xml:space="preserve">United Kingdom London</w:t>
      </w:r>
      <w:r>
        <w:br/>
      </w:r>
      <w:r>
        <w:rPr>
          <w:bCs/>
          <w:b/>
        </w:rPr>
        <w:t xml:space="preserve">Key Entity:</w:t>
      </w:r>
      <w:r>
        <w:t xml:space="preserve">The modern</w:t>
      </w:r>
      <w:r>
        <w:t xml:space="preserve"> </w:t>
      </w:r>
      <w:r>
        <w:t xml:space="preserve">Teacher Secondary</w:t>
      </w:r>
      <w:r>
        <w:t xml:space="preserve"> </w:t>
      </w:r>
      <w:r>
        <w:t xml:space="preserve">professional role.</w:t>
      </w:r>
    </w:p>
    <w:bookmarkStart w:id="20" w:name="executive-summary"/>
    <w:p>
      <w:pPr>
        <w:pStyle w:val="Heading2"/>
      </w:pPr>
      <w:r>
        <w:t xml:space="preserve">1. Executive Summary</w:t>
      </w:r>
    </w:p>
    <w:p>
      <w:pPr>
        <w:pStyle w:val="FirstParagraph"/>
      </w:pPr>
      <w:r>
        <w:t xml:space="preserve">The landscape of secondary education is currently undergoing a profound transformation, driven by demographic shifts, technological advancements, and evolving socio-economic demands. This</w:t>
      </w:r>
      <w:r>
        <w:t xml:space="preserve"> </w:t>
      </w:r>
      <w:r>
        <w:rPr>
          <w:bCs/>
          <w:b/>
        </w:rPr>
        <w:t xml:space="preserve">Case Study</w:t>
      </w:r>
      <w:r>
        <w:t xml:space="preserve"> </w:t>
      </w:r>
      <w:r>
        <w:t xml:space="preserve">examines the critical role of the</w:t>
      </w:r>
      <w:r>
        <w:t xml:space="preserve"> </w:t>
      </w:r>
      <w:r>
        <w:rPr>
          <w:bCs/>
          <w:b/>
        </w:rPr>
        <w:t xml:space="preserve">Teacher Secondary</w:t>
      </w:r>
      <w:r>
        <w:t xml:space="preserve">, specifically within the dense and dynamic educational ecosystem of</w:t>
      </w:r>
      <w:r>
        <w:t xml:space="preserve"> </w:t>
      </w:r>
      <w:r>
        <w:t xml:space="preserve">United Kingdom London</w:t>
      </w:r>
      <w:r>
        <w:t xml:space="preserve">. The document explores how educators in this capital city are navigating complex classroom dynamics, integrating digital literacy, and addressing the unique needs of a diverse student population. The primary objective is to understand how traditional teaching methods are being reimagined to meet the standards set by the Department for Education (DfE) while fostering holistic student development.</w:t>
      </w:r>
    </w:p>
    <w:bookmarkEnd w:id="20"/>
    <w:bookmarkStart w:id="21" w:name="X08ba31a12a517910ae39ffff8d55854b87a7681"/>
    <w:p>
      <w:pPr>
        <w:pStyle w:val="Heading2"/>
      </w:pPr>
      <w:r>
        <w:t xml:space="preserve">2. Contextual Background: The Unique Environment of</w:t>
      </w:r>
      <w:r>
        <w:t xml:space="preserve"> </w:t>
      </w:r>
      <w:r>
        <w:t xml:space="preserve">United Kingdom London</w:t>
      </w:r>
    </w:p>
    <w:p>
      <w:pPr>
        <w:pStyle w:val="FirstParagraph"/>
      </w:pPr>
      <w:r>
        <w:t xml:space="preserve">London represents one of the most diverse educational markets in the world. As a major hub within the</w:t>
      </w:r>
      <w:r>
        <w:t xml:space="preserve"> </w:t>
      </w:r>
      <w:r>
        <w:rPr>
          <w:bCs/>
          <w:b/>
        </w:rPr>
        <w:t xml:space="preserve">United Kingdom London</w:t>
      </w:r>
      <w:r>
        <w:t xml:space="preserve">, schools serve students from hundreds of different linguistic, cultural, and economic backgrounds. This diversity presents both a significant opportunity for cultural enrichment and a complex challenge regarding inclusion and equity. Unlike rural or suburban areas where student demographics may be more homogenous, secondary schools in central London boroughs such as Tower Hamlets or Newham often face higher concentrations of poverty, English as an Additional Language (EAL) students, and pupils with special educational needs (SEN).</w:t>
      </w:r>
      <w:r>
        <w:t xml:space="preserve"> </w:t>
      </w:r>
      <w:r>
        <w:t xml:space="preserve">Consequently, the</w:t>
      </w:r>
      <w:r>
        <w:t xml:space="preserve"> </w:t>
      </w:r>
      <w:r>
        <w:rPr>
          <w:bCs/>
          <w:b/>
        </w:rPr>
        <w:t xml:space="preserve">Teacher Secondary</w:t>
      </w:r>
      <w:r>
        <w:t xml:space="preserve"> </w:t>
      </w:r>
      <w:r>
        <w:t xml:space="preserve">operating in this region cannot rely on a "one-size-fits-all" pedagogical approach. The context demands educators who are not only subject experts but also cultural liaisons and social support advocates. The pressure of high-stakes accountability measures, such as Progress 8 and Attainment 8 scores, adds another layer of complexity to the</w:t>
      </w:r>
      <w:r>
        <w:t xml:space="preserve"> </w:t>
      </w:r>
      <w:r>
        <w:rPr>
          <w:bCs/>
          <w:b/>
        </w:rPr>
        <w:t xml:space="preserve">Teacher Secondary</w:t>
      </w:r>
      <w:r>
        <w:t xml:space="preserve">'s role in</w:t>
      </w:r>
      <w:r>
        <w:t xml:space="preserve"> </w:t>
      </w:r>
      <w:r>
        <w:t xml:space="preserve">United Kingdom London</w:t>
      </w:r>
      <w:r>
        <w:t xml:space="preserve">.</w:t>
      </w:r>
    </w:p>
    <w:bookmarkEnd w:id="21"/>
    <w:bookmarkStart w:id="25" w:name="profile-the-modern-teacher-secondary"/>
    <w:p>
      <w:pPr>
        <w:pStyle w:val="Heading2"/>
      </w:pPr>
      <w:r>
        <w:t xml:space="preserve">3. Profile: The Modern</w:t>
      </w:r>
      <w:r>
        <w:t xml:space="preserve"> </w:t>
      </w:r>
      <w:r>
        <w:rPr>
          <w:bCs/>
          <w:b/>
        </w:rPr>
        <w:t xml:space="preserve">Teacher Secondary</w:t>
      </w:r>
    </w:p>
    <w:p>
      <w:pPr>
        <w:pStyle w:val="FirstParagraph"/>
      </w:pPr>
      <w:r>
        <w:t xml:space="preserve">The profile of a successful</w:t>
      </w:r>
      <w:r>
        <w:t xml:space="preserve"> </w:t>
      </w:r>
      <w:r>
        <w:rPr>
          <w:bCs/>
          <w:b/>
        </w:rPr>
        <w:t xml:space="preserve">Teacher SecondaryCase Study</w:t>
      </w:r>
      <w:r>
        <w:t xml:space="preserve">, we observe three key competencies required of the</w:t>
      </w:r>
      <w:r>
        <w:t xml:space="preserve"> </w:t>
      </w:r>
      <w:r>
        <w:rPr>
          <w:bCs/>
          <w:b/>
        </w:rPr>
        <w:t xml:space="preserve">Teacher Secondary</w:t>
      </w:r>
      <w:r>
        <w:t xml:space="preserve">:</w:t>
      </w:r>
    </w:p>
    <w:bookmarkStart w:id="22" w:name="adaptive-pedagogical-strategies"/>
    <w:p>
      <w:pPr>
        <w:pStyle w:val="Heading3"/>
      </w:pPr>
      <w:r>
        <w:t xml:space="preserve">3.1 Adaptive Pedagogical Strategies</w:t>
      </w:r>
    </w:p>
    <w:p>
      <w:pPr>
        <w:pStyle w:val="FirstParagraph"/>
      </w:pPr>
      <w:r>
        <w:t xml:space="preserve">A proficient</w:t>
      </w:r>
      <w:r>
        <w:t xml:space="preserve"> </w:t>
      </w:r>
      <w:r>
        <w:rPr>
          <w:bCs/>
          <w:b/>
        </w:rPr>
        <w:t xml:space="preserve">Teacher SecondaryUnited Kingdom London, where class sizes can be large and resources sometimes stretched, this requires innovative lesson planning that maximizes engagement without compromising academic standards.</w:t>
      </w:r>
    </w:p>
    <w:bookmarkEnd w:id="22"/>
    <w:bookmarkStart w:id="23" w:name="digital-integration-and-literacy"/>
    <w:p>
      <w:pPr>
        <w:pStyle w:val="Heading3"/>
      </w:pPr>
      <w:r>
        <w:t xml:space="preserve">3.2 Digital Integration and Literacy</w:t>
      </w:r>
    </w:p>
    <w:p>
      <w:pPr>
        <w:pStyle w:val="FirstParagraph"/>
      </w:pPr>
      <w:r>
        <w:t xml:space="preserve">The post-pandemic era has accelerated the digitalization of education. The</w:t>
      </w:r>
      <w:r>
        <w:t xml:space="preserve"> </w:t>
      </w:r>
      <w:r>
        <w:rPr>
          <w:bCs/>
          <w:b/>
        </w:rPr>
        <w:t xml:space="preserve">Teacher SecondaryUnited Kingdom London, schools are increasingly investing in EdTech, and teachers must be proactive in adopting these tools to enhance student outcomes.</w:t>
      </w:r>
    </w:p>
    <w:bookmarkEnd w:id="23"/>
    <w:bookmarkStart w:id="24" w:name="pastoral-care-and-mental-health-support"/>
    <w:p>
      <w:pPr>
        <w:pStyle w:val="Heading3"/>
      </w:pPr>
      <w:r>
        <w:t xml:space="preserve">3.3 Pastoral Care and Mental Health Support</w:t>
      </w:r>
    </w:p>
    <w:p>
      <w:pPr>
        <w:pStyle w:val="FirstParagraph"/>
      </w:pPr>
      <w:r>
        <w:t xml:space="preserve">Perhaps the most critical aspect of the modern</w:t>
      </w:r>
      <w:r>
        <w:t xml:space="preserve"> </w:t>
      </w:r>
      <w:r>
        <w:rPr>
          <w:bCs/>
          <w:b/>
        </w:rPr>
        <w:t xml:space="preserve">Teacher Secondary Teacher Secondary</w:t>
      </w:r>
      <w:r>
        <w:t xml:space="preserve"> </w:t>
      </w:r>
      <w:r>
        <w:t xml:space="preserve">professionals are increasingly trained in mental health first aid and trauma-informed teaching practices.</w:t>
      </w:r>
    </w:p>
    <w:bookmarkEnd w:id="24"/>
    <w:bookmarkEnd w:id="25"/>
    <w:bookmarkStart w:id="26" w:name="key-challenges-identified"/>
    <w:p>
      <w:pPr>
        <w:pStyle w:val="Heading2"/>
      </w:pPr>
      <w:r>
        <w:t xml:space="preserve">4. Key Challenges Identified</w:t>
      </w:r>
    </w:p>
    <w:p>
      <w:pPr>
        <w:pStyle w:val="FirstParagraph"/>
      </w:pPr>
      <w:r>
        <w:t xml:space="preserve">This</w:t>
      </w:r>
      <w:r>
        <w:t xml:space="preserve"> </w:t>
      </w:r>
      <w:r>
        <w:rPr>
          <w:bCs/>
          <w:b/>
        </w:rPr>
        <w:t xml:space="preserve">Case Study</w:t>
      </w:r>
    </w:p>
    <w:p>
      <w:pPr>
        <w:pStyle w:val="BodyText"/>
      </w:pPr>
      <w:r>
        <w:rPr>
          <w:bCs/>
          <w:b/>
        </w:rPr>
        <w:t xml:space="preserve">Talent Retention:</w:t>
      </w:r>
      <w:r>
        <w:t xml:space="preserve">Burnout rates among teachers in</w:t>
      </w:r>
      <w:r>
        <w:t xml:space="preserve"> </w:t>
      </w:r>
      <w:r>
        <w:t xml:space="preserve">United Kingdom London</w:t>
      </w:r>
      <w:r>
        <w:t xml:space="preserve"> </w:t>
      </w:r>
      <w:r>
        <w:t xml:space="preserve">are high due to workload and emotional strain. Attracting and retaining high-quality</w:t>
      </w:r>
    </w:p>
    <w:p>
      <w:pPr>
        <w:pStyle w:val="BodyText"/>
      </w:pPr>
      <w:r>
        <w:t xml:space="preserve">Teacher Secondary candidates is a significant concern for many Trusts.</w:t>
      </w:r>
    </w:p>
    <w:p>
      <w:pPr>
        <w:pStyle w:val="BodyText"/>
      </w:pPr>
      <w:r>
        <w:rPr>
          <w:bCs/>
          <w:b/>
        </w:rPr>
        <w:t xml:space="preserve">Funding Disparities:</w:t>
      </w:r>
      <w:r>
        <w:t xml:space="preserve">While the pupil premium in London attempts to address inequality, schools often struggle with the cost of living crisis affecting both staff and students. This economic pressure impacts attendance and engagement levels.</w:t>
      </w:r>
    </w:p>
    <w:p>
      <w:pPr>
        <w:pStyle w:val="BodyText"/>
      </w:pPr>
      <w:r>
        <w:rPr>
          <w:bCs/>
          <w:b/>
        </w:rPr>
        <w:t xml:space="preserve">Curriculum Pressures:</w:t>
      </w:r>
      <w:r>
        <w:t xml:space="preserve">The breadth of the National Curriculum requires</w:t>
      </w:r>
      <w:r>
        <w:t xml:space="preserve"> </w:t>
      </w:r>
      <w:r>
        <w:rPr>
          <w:iCs/>
          <w:i/>
        </w:rPr>
        <w:t xml:space="preserve">Teacher Secondary</w:t>
      </w:r>
      <w:r>
        <w:t xml:space="preserve"> </w:t>
      </w:r>
      <w:r>
        <w:t xml:space="preserve">to cover vast amounts of content in limited time, often leaving little room for creative or exploratory learning methods that foster critical thinking.</w:t>
      </w:r>
    </w:p>
    <w:bookmarkEnd w:id="26"/>
    <w:bookmarkStart w:id="30" w:name="Xa595906e5a0537d2ff569f09a84248879a33ceb"/>
    <w:p>
      <w:pPr>
        <w:pStyle w:val="Heading2"/>
      </w:pPr>
      <w:r>
        <w:t xml:space="preserve">5. Strategic Recommendations and Best Practices</w:t>
      </w:r>
    </w:p>
    <w:p>
      <w:pPr>
        <w:pStyle w:val="FirstParagraph"/>
      </w:pPr>
      <w:r>
        <w:t xml:space="preserve">To address these challenges, this</w:t>
      </w:r>
      <w:r>
        <w:t xml:space="preserve"> </w:t>
      </w:r>
      <w:r>
        <w:rPr>
          <w:bCs/>
          <w:b/>
        </w:rPr>
        <w:t xml:space="preserve">Case Study</w:t>
      </w:r>
      <w:r>
        <w:t xml:space="preserve">United Kingdom London context:</w:t>
      </w:r>
    </w:p>
    <w:bookmarkStart w:id="27" w:name="Xb29d061ed741d125e66432d7ec66cbc4e7dcdf9"/>
    <w:p>
      <w:pPr>
        <w:pStyle w:val="Heading3"/>
      </w:pPr>
      <w:r>
        <w:rPr>
          <w:bCs/>
          <w:b/>
        </w:rPr>
        <w:t xml:space="preserve">Collaborative Professional Learning Communities (PLCs):</w:t>
      </w:r>
    </w:p>
    <w:p>
      <w:pPr>
        <w:pStyle w:val="FirstParagraph"/>
      </w:pPr>
      <w:r>
        <w:t xml:space="preserve">Schools should foster strong PLCs where</w:t>
      </w:r>
    </w:p>
    <w:p>
      <w:pPr>
        <w:pStyle w:val="BodyText"/>
      </w:pPr>
      <w:r>
        <w:t xml:space="preserve">Teacher Secondary professionals can share best practices, discuss classroom challenges, and collaborate on lesson design. This reduces isolation and promotes collective efficacy among staff.</w:t>
      </w:r>
    </w:p>
    <w:bookmarkEnd w:id="27"/>
    <w:bookmarkStart w:id="28" w:name="mentorship-programs-for-new-teachers"/>
    <w:p>
      <w:pPr>
        <w:pStyle w:val="Heading3"/>
      </w:pPr>
      <w:r>
        <w:rPr>
          <w:bCs/>
          <w:b/>
        </w:rPr>
        <w:t xml:space="preserve">Mentorship Programs for New Teachers:</w:t>
      </w:r>
    </w:p>
    <w:p>
      <w:pPr>
        <w:pStyle w:val="FirstParagraph"/>
      </w:pPr>
      <w:r>
        <w:t xml:space="preserve">Establishing robust induction programs that pair novice</w:t>
      </w:r>
      <w:r>
        <w:t xml:space="preserve"> </w:t>
      </w:r>
      <w:r>
        <w:rPr>
          <w:iCs/>
          <w:i/>
        </w:rPr>
        <w:t xml:space="preserve">Teacher Secondary</w:t>
      </w:r>
    </w:p>
    <w:bookmarkEnd w:id="28"/>
    <w:bookmarkStart w:id="29" w:name="holistic-well-being-initiatives"/>
    <w:p>
      <w:pPr>
        <w:pStyle w:val="Heading3"/>
      </w:pPr>
      <w:r>
        <w:rPr>
          <w:bCs/>
          <w:b/>
        </w:rPr>
        <w:t xml:space="preserve">Holistic Well-being Initiatives:</w:t>
      </w:r>
    </w:p>
    <w:p>
      <w:pPr>
        <w:pStyle w:val="FirstParagraph"/>
      </w:pPr>
      <w:r>
        <w:t xml:space="preserve">Schools must prioritize staff well-being to sustain high-quality teaching. Initiatives such as reduced administrative burdens, access to counseling, and wellness workshops can help</w:t>
      </w:r>
    </w:p>
    <w:p>
      <w:pPr>
        <w:pStyle w:val="BodyText"/>
      </w:pPr>
      <w:r>
        <w:t xml:space="preserve">Teacher Secondary professionals maintain their passion and effectiveness.</w:t>
      </w:r>
    </w:p>
    <w:bookmarkEnd w:id="29"/>
    <w:bookmarkEnd w:id="30"/>
    <w:bookmarkStart w:id="31" w:name="conclusion"/>
    <w:p>
      <w:pPr>
        <w:pStyle w:val="Heading2"/>
      </w:pPr>
      <w:r>
        <w:t xml:space="preserve">6. Conclusion</w:t>
      </w:r>
    </w:p>
    <w:p>
      <w:pPr>
        <w:pStyle w:val="FirstParagraph"/>
      </w:pPr>
      <w:r>
        <w:t xml:space="preserve">The future of secondary education in</w:t>
      </w:r>
      <w:r>
        <w:t xml:space="preserve"> </w:t>
      </w:r>
      <w:r>
        <w:t xml:space="preserve">United Kingdom London</w:t>
      </w:r>
      <w:r>
        <w:t xml:space="preserve">Case Study, the role of the</w:t>
      </w:r>
    </w:p>
    <w:p>
      <w:pPr>
        <w:pStyle w:val="BodyText"/>
      </w:pPr>
      <w:r>
        <w:t xml:space="preserve">Teacher SecondaryTeacher Secondary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Teacher Secondary Education in United Kingdom London</dc:title>
  <dc:creator/>
  <cp:keywords/>
  <dcterms:created xsi:type="dcterms:W3CDTF">2026-07-30T01:25:57Z</dcterms:created>
  <dcterms:modified xsi:type="dcterms:W3CDTF">2026-07-30T01:25:57Z</dcterms:modified>
</cp:coreProperties>
</file>

<file path=docProps/custom.xml><?xml version="1.0" encoding="utf-8"?>
<Properties xmlns="http://schemas.openxmlformats.org/officeDocument/2006/custom-properties" xmlns:vt="http://schemas.openxmlformats.org/officeDocument/2006/docPropsVTypes"/>
</file>