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Secondary</w:t>
      </w:r>
      <w:r>
        <w:t xml:space="preserve"> </w:t>
      </w:r>
      <w:r>
        <w:t xml:space="preserve">Teacher</w:t>
      </w:r>
      <w:r>
        <w:t xml:space="preserve"> </w:t>
      </w:r>
      <w:r>
        <w:t xml:space="preserve">in</w:t>
      </w:r>
      <w:r>
        <w:t xml:space="preserve"> </w:t>
      </w:r>
      <w:r>
        <w:t xml:space="preserve">Manchester</w:t>
      </w:r>
    </w:p>
    <w:p>
      <w:pPr>
        <w:pStyle w:val="FirstParagraph"/>
      </w:pPr>
      <w:r>
        <w:t xml:space="preserve">```html</w:t>
      </w:r>
    </w:p>
    <w:bookmarkStart w:id="28" w:name="X7449c4f1779098a07cea9a267383fb85ba84fdb"/>
    <w:p>
      <w:pPr>
        <w:pStyle w:val="Heading1"/>
      </w:pPr>
      <w:r>
        <w:t xml:space="preserve">A Case Study on the Role of a Teacher Secondary in United Kingdom Manchester</w:t>
      </w:r>
    </w:p>
    <w:p>
      <w:pPr>
        <w:pStyle w:val="FirstParagraph"/>
      </w:pPr>
      <w:r>
        <w:rPr>
          <w:bCs/>
          <w:b/>
        </w:rPr>
        <w:t xml:space="preserve">Date:</w:t>
      </w:r>
      <w:r>
        <w:t xml:space="preserve"> </w:t>
      </w:r>
      <w:r>
        <w:t xml:space="preserve">October 24, 2023</w:t>
      </w:r>
      <w:r>
        <w:br/>
      </w:r>
      <w:r>
        <w:rPr>
          <w:bCs/>
          <w:b/>
        </w:rPr>
        <w:t xml:space="preserve">Subject:</w:t>
      </w:r>
    </w:p>
    <w:bookmarkStart w:id="20" w:name="X396b68f20f18b0e8e8c3437dd2e313e7ab79ed2"/>
    <w:p>
      <w:pPr>
        <w:pStyle w:val="Heading2"/>
      </w:pPr>
      <w:r>
        <w:t xml:space="preserve">The Context: Education in United Kingdom Manchester</w:t>
      </w:r>
    </w:p>
    <w:p>
      <w:pPr>
        <w:pStyle w:val="FirstParagraph"/>
      </w:pPr>
      <w:r>
        <w:t xml:space="preserve">To truly understand the significance of the</w:t>
      </w:r>
      <w:r>
        <w:t xml:space="preserve"> </w:t>
      </w:r>
      <w:r>
        <w:t xml:space="preserve">Teacher Secondary</w:t>
      </w:r>
      <w:r>
        <w:t xml:space="preserve">, one must first contextualize their role within the bustling, culturally rich landscape of</w:t>
      </w:r>
      <w:r>
        <w:t xml:space="preserve"> </w:t>
      </w:r>
      <w:r>
        <w:t xml:space="preserve">United Kingdom Manchester</w:t>
      </w:r>
      <w:r>
        <w:t xml:space="preserve">. As a major hub in North West England, Manchester represents a unique microcosm of modern Britain. It is characterized by its industrial heritage transformed into a vibrant center for digital media and creative arts, alongside being home to diverse academic institutions such as the University of Manchester and Manchester Metropolitan University. In this dynamic environment, secondary education serves not merely as an academic stepping stone but as a crucial bridge for social mobility.</w:t>
      </w:r>
    </w:p>
    <w:p>
      <w:pPr>
        <w:pStyle w:val="BodyText"/>
      </w:pPr>
      <w:r>
        <w:t xml:space="preserve">The demographic makeup of</w:t>
      </w:r>
      <w:r>
        <w:t xml:space="preserve"> </w:t>
      </w:r>
      <w:r>
        <w:t xml:space="preserve">United Kingdom Manchester</w:t>
      </w:r>
      <w:r>
        <w:t xml:space="preserve"> </w:t>
      </w:r>
      <w:r>
        <w:t xml:space="preserve">is increasingly varied, with second-generation immigrants and students from various socioeconomic backgrounds populating local schools. This diversity necessitates a pedagogical approach that is inclusive, culturally responsive, and academically rigorous. Consequently, the profile of the ideal</w:t>
      </w:r>
      <w:r>
        <w:t xml:space="preserve"> </w:t>
      </w:r>
      <w:r>
        <w:t xml:space="preserve">Teacher Secondary</w:t>
      </w:r>
      <w:r>
        <w:t xml:space="preserve"> </w:t>
      </w:r>
      <w:r>
        <w:t xml:space="preserve">in this city differs slightly from their counterparts in rural England; they must possess high levels of adaptability and cultural competency to navigate the complex social dynamics inherent in an urban setting.</w:t>
      </w:r>
    </w:p>
    <w:bookmarkEnd w:id="20"/>
    <w:bookmarkStart w:id="21" w:name="Xf66c8869fe4f93f838514df2ba025e26f4dc7a3"/>
    <w:p>
      <w:pPr>
        <w:pStyle w:val="Heading2"/>
      </w:pPr>
      <w:r>
        <w:t xml:space="preserve">The Role Profile: The Modern Teacher Secondary</w:t>
      </w:r>
    </w:p>
    <w:p>
      <w:pPr>
        <w:pStyle w:val="FirstParagraph"/>
      </w:pPr>
      <w:r>
        <w:t xml:space="preserve">In the framework of the</w:t>
      </w:r>
      <w:r>
        <w:t xml:space="preserve"> </w:t>
      </w:r>
      <w:r>
        <w:t xml:space="preserve">United Kingdom Manchester</w:t>
      </w:r>
      <w:r>
        <w:t xml:space="preserve"> </w:t>
      </w:r>
      <w:r>
        <w:t xml:space="preserve">education system, a</w:t>
      </w:r>
      <w:r>
        <w:t xml:space="preserve"> </w:t>
      </w:r>
      <w:r>
        <w:t xml:space="preserve">Teacher Secondary</w:t>
      </w:r>
      <w:r>
        <w:t xml:space="preserve"> </w:t>
      </w:r>
      <w:r>
        <w:t xml:space="preserve">is far more than a conduit of information. According to the Department for Education standards, which govern all schools in England including those in Greater Manchester, a secondary teacher acts as a mentor, assessor, and safeguarding professional. The role typically involves teaching students aged 11 to 16 (Key Stage 3 and Key Stage 4), though many also teach A-Level students up to age 18.</w:t>
      </w:r>
    </w:p>
    <w:p>
      <w:pPr>
        <w:pStyle w:val="BodyText"/>
      </w:pPr>
      <w:r>
        <w:t xml:space="preserve">The primary responsibility of any</w:t>
      </w:r>
      <w:r>
        <w:t xml:space="preserve"> </w:t>
      </w:r>
      <w:r>
        <w:t xml:space="preserve">Teacher Secondary</w:t>
      </w:r>
      <w:r>
        <w:t xml:space="preserve"> </w:t>
      </w:r>
      <w:r>
        <w:t xml:space="preserve">is curriculum delivery aligned with the National Curriculum. However, in the competitive environment of</w:t>
      </w:r>
      <w:r>
        <w:t xml:space="preserve"> </w:t>
      </w:r>
      <w:r>
        <w:t xml:space="preserve">United Kingdom Manchester</w:t>
      </w:r>
      <w:r>
        <w:t xml:space="preserve">, where performance tables and Ofsted ratings are closely scrutinized by local parents and policymakers, teachers face pressure to deliver high academic outcomes. This pressure is balanced against the pastoral duties required to support adolescent mental health—a topic that has gained significant prominence across British schools in recent years.</w:t>
      </w:r>
    </w:p>
    <w:bookmarkEnd w:id="21"/>
    <w:bookmarkStart w:id="25" w:name="Xca78fe07d6de2411f25538a425bf0229540ef30"/>
    <w:p>
      <w:pPr>
        <w:pStyle w:val="Heading2"/>
      </w:pPr>
      <w:r>
        <w:t xml:space="preserve">Case Study Analysis: Navigating Urban Challenges</w:t>
      </w:r>
    </w:p>
    <w:p>
      <w:pPr>
        <w:pStyle w:val="FirstParagraph"/>
      </w:pPr>
      <w:r>
        <w:t xml:space="preserve">This case study examines the implementation strategies of a hypothetical secondary school located in a diverse ward within</w:t>
      </w:r>
      <w:r>
        <w:t xml:space="preserve"> </w:t>
      </w:r>
      <w:r>
        <w:t xml:space="preserve">United Kingdom Manchester</w:t>
      </w:r>
      <w:r>
        <w:t xml:space="preserve">. The school serves a student body where 40% of pupils are eligible for free school meals, indicating significant socioeconomic challenges. In this context, the role of the</w:t>
      </w:r>
      <w:r>
        <w:t xml:space="preserve"> </w:t>
      </w:r>
      <w:r>
        <w:t xml:space="preserve">Teacher Secondary</w:t>
      </w:r>
      <w:r>
        <w:t xml:space="preserve"> </w:t>
      </w:r>
      <w:r>
        <w:t xml:space="preserve">becomes pivotal in mitigating educational inequality.</w:t>
      </w:r>
    </w:p>
    <w:bookmarkStart w:id="22" w:name="X3d667183b9e550694c15684885e4c4d9e9a45b5"/>
    <w:p>
      <w:pPr>
        <w:pStyle w:val="Heading3"/>
      </w:pPr>
      <w:r>
        <w:t xml:space="preserve">Pedagogical Adaptation and Differentiation</w:t>
      </w:r>
    </w:p>
    <w:p>
      <w:pPr>
        <w:pStyle w:val="FirstParagraph"/>
      </w:pPr>
      <w:r>
        <w:t xml:space="preserve">A central theme in this study is differentiation. A</w:t>
      </w:r>
      <w:r>
        <w:t xml:space="preserve"> </w:t>
      </w:r>
      <w:r>
        <w:t xml:space="preserve">Teacher Secondary</w:t>
      </w:r>
      <w:r>
        <w:t xml:space="preserve"> </w:t>
      </w:r>
      <w:r>
        <w:t xml:space="preserve">in Manchester must cater to a wide spectrum of learning abilities within the same classroom. For instance, when teaching History, the teacher might provide scaffolded resources for students with Special Educational Needs and Disabilities (SEND) while simultaneously challenging high-achieving students with independent research projects. This dual approach ensures that no student is left behind, a core tenet of inclusive education promoted by Manchester City Council’s educational initiatives.</w:t>
      </w:r>
    </w:p>
    <w:bookmarkEnd w:id="22"/>
    <w:bookmarkStart w:id="23" w:name="safeguarding-and-wellbeing"/>
    <w:p>
      <w:pPr>
        <w:pStyle w:val="Heading3"/>
      </w:pPr>
      <w:r>
        <w:t xml:space="preserve">Safeguarding and Wellbeing</w:t>
      </w:r>
    </w:p>
    <w:p>
      <w:pPr>
        <w:pStyle w:val="FirstParagraph"/>
      </w:pPr>
      <w:r>
        <w:t xml:space="preserve">The wellbeing of the</w:t>
      </w:r>
      <w:r>
        <w:t xml:space="preserve"> </w:t>
      </w:r>
      <w:r>
        <w:t xml:space="preserve">Teacher Secondary</w:t>
      </w:r>
      <w:r>
        <w:t xml:space="preserve"> </w:t>
      </w:r>
      <w:r>
        <w:t xml:space="preserve">is intrinsically linked to their effectiveness. In</w:t>
      </w:r>
      <w:r>
        <w:t xml:space="preserve"> </w:t>
      </w:r>
      <w:r>
        <w:t xml:space="preserve">United Kingdom Manchester</w:t>
      </w:r>
      <w:r>
        <w:t xml:space="preserve">, schools often act as community hubs, providing support beyond academic learning. Teachers are frequently on the front line regarding safeguarding issues, including child protection and mental health crises. This study highlights that successful</w:t>
      </w:r>
      <w:r>
        <w:t xml:space="preserve"> </w:t>
      </w:r>
      <w:r>
        <w:t xml:space="preserve">Teacher Secondary</w:t>
      </w:r>
      <w:r>
        <w:t xml:space="preserve"> </w:t>
      </w:r>
      <w:r>
        <w:t xml:space="preserve">professionals in this region engage in continuous professional development (CPD) focused on trauma-informed teaching. By understanding the impact of poverty and social instability on student behavior, these educators can de-escalate conflicts and foster a supportive classroom environment.</w:t>
      </w:r>
    </w:p>
    <w:bookmarkEnd w:id="23"/>
    <w:bookmarkStart w:id="24" w:name="community-engagement"/>
    <w:p>
      <w:pPr>
        <w:pStyle w:val="Heading3"/>
      </w:pPr>
      <w:r>
        <w:t xml:space="preserve">Community Engagement</w:t>
      </w:r>
    </w:p>
    <w:p>
      <w:pPr>
        <w:pStyle w:val="FirstParagraph"/>
      </w:pPr>
      <w:r>
        <w:t xml:space="preserve">The relationship between the school and the wider community in</w:t>
      </w:r>
      <w:r>
        <w:t xml:space="preserve"> </w:t>
      </w:r>
      <w:r>
        <w:t xml:space="preserve">United Kingdom Manchester</w:t>
      </w:r>
      <w:r>
        <w:t xml:space="preserve"> </w:t>
      </w:r>
      <w:r>
        <w:t xml:space="preserve">is vital. The case study illustrates how local</w:t>
      </w:r>
      <w:r>
        <w:t xml:space="preserve"> </w:t>
      </w:r>
      <w:r>
        <w:t xml:space="preserve">Teacher Secondary</w:t>
      </w:r>
      <w:r>
        <w:t xml:space="preserve"> </w:t>
      </w:r>
      <w:r>
        <w:t xml:space="preserve">staff collaborate with local businesses, charities, and higher education institutions. For example, partnerships with Manchester-based tech firms allow teachers to bring real-world applications into the science classroom, enhancing student engagement and providing career pathways that are relevant to the local economy.</w:t>
      </w:r>
    </w:p>
    <w:bookmarkEnd w:id="24"/>
    <w:bookmarkEnd w:id="25"/>
    <w:bookmarkStart w:id="26" w:name="X0aabcbefb98027fbb8c427df0445ae1a0de3d12"/>
    <w:p>
      <w:pPr>
        <w:pStyle w:val="Heading2"/>
      </w:pPr>
      <w:r>
        <w:t xml:space="preserve">Challenges Faced by Teacher Secondary Professionals</w:t>
      </w:r>
    </w:p>
    <w:p>
      <w:pPr>
        <w:pStyle w:val="FirstParagraph"/>
      </w:pPr>
      <w:r>
        <w:t xml:space="preserve">Despite the rewarding nature of their work,</w:t>
      </w:r>
      <w:r>
        <w:t xml:space="preserve"> </w:t>
      </w:r>
      <w:r>
        <w:t xml:space="preserve">Teacher Secondary</w:t>
      </w:r>
      <w:r>
        <w:t xml:space="preserve"> </w:t>
      </w:r>
      <w:r>
        <w:t xml:space="preserve">professionals in</w:t>
      </w:r>
      <w:r>
        <w:t xml:space="preserve"> </w:t>
      </w:r>
      <w:r>
        <w:t xml:space="preserve">United Kingdom Manchester</w:t>
      </w:r>
      <w:r>
        <w:t xml:space="preserve">, as elsewhere in the UK, face systemic challenges. The cost-of-living crisis affecting teachers' own households can impact recruitment and retention. Furthermore, the burden of administrative paperwork and data tracking can detract from time spent on lesson preparation and student interaction.</w:t>
      </w:r>
    </w:p>
    <w:p>
      <w:pPr>
        <w:pStyle w:val="BodyText"/>
      </w:pPr>
      <w:r>
        <w:t xml:space="preserve">Additionally, the post-pandemic landscape has introduced learning gaps that</w:t>
      </w:r>
      <w:r>
        <w:t xml:space="preserve"> </w:t>
      </w:r>
      <w:r>
        <w:t xml:space="preserve">Teacher Secondary</w:t>
      </w:r>
      <w:r>
        <w:t xml:space="preserve"> </w:t>
      </w:r>
      <w:r>
        <w:t xml:space="preserve">staff must address while maintaining curriculum pace. This requires innovative teaching methods and a willingness to collaborate with colleagues to share best practices. In Manchester, schools have formed multi-academy trusts to pool resources and support struggling departments, demonstrating a collective approach to overcoming these hurdles.</w:t>
      </w:r>
    </w:p>
    <w:bookmarkEnd w:id="26"/>
    <w:bookmarkStart w:id="27" w:name="conclusion"/>
    <w:p>
      <w:pPr>
        <w:pStyle w:val="Heading2"/>
      </w:pPr>
      <w:r>
        <w:t xml:space="preserve">Conclusion</w:t>
      </w:r>
    </w:p>
    <w:p>
      <w:pPr>
        <w:pStyle w:val="FirstParagraph"/>
      </w:pPr>
      <w:r>
        <w:t xml:space="preserve">In conclusion, the role of the</w:t>
      </w:r>
      <w:r>
        <w:t xml:space="preserve"> </w:t>
      </w:r>
      <w:r>
        <w:t xml:space="preserve">Teacher Secondary</w:t>
      </w:r>
      <w:r>
        <w:t xml:space="preserve"> </w:t>
      </w:r>
      <w:r>
        <w:t xml:space="preserve">in</w:t>
      </w:r>
      <w:r>
        <w:t xml:space="preserve"> </w:t>
      </w:r>
      <w:r>
        <w:t xml:space="preserve">United Kingdom Manchester</w:t>
      </w:r>
      <w:r>
        <w:t xml:space="preserve"> </w:t>
      </w:r>
      <w:r>
        <w:t xml:space="preserve">is complex, multifaceted, and critical to the social fabric of the city. These educators are not only responsible for academic instruction but also for nurturing resilient, globally aware citizens capable of thriving in a diverse world. The case study demonstrates that success in this role requires a blend of pedagogical expertise, emotional intelligence, and community engagement.</w:t>
      </w:r>
    </w:p>
    <w:p>
      <w:pPr>
        <w:pStyle w:val="BodyText"/>
      </w:pPr>
      <w:r>
        <w:t xml:space="preserve">As</w:t>
      </w:r>
      <w:r>
        <w:t xml:space="preserve"> </w:t>
      </w:r>
      <w:r>
        <w:t xml:space="preserve">United Kingdom Manchester</w:t>
      </w:r>
      <w:r>
        <w:t xml:space="preserve"> </w:t>
      </w:r>
      <w:r>
        <w:t xml:space="preserve">continues to evolve as a global city, its schools must continue to adapt. Investing in the professional growth and wellbeing of the</w:t>
      </w:r>
      <w:r>
        <w:t xml:space="preserve"> </w:t>
      </w:r>
      <w:r>
        <w:t xml:space="preserve">Teacher Secondary</w:t>
      </w:r>
      <w:r>
        <w:t xml:space="preserve"> </w:t>
      </w:r>
      <w:r>
        <w:t xml:space="preserve">workforce is not just an educational imperative but a civic necessity. By supporting these professionals, society ensures that the next generation of Manchester’s citizens receives the high-quality education they deserve.</w:t>
      </w:r>
    </w:p>
    <w:p>
      <w:pPr>
        <w:pStyle w:val="BodyText"/>
      </w:pPr>
      <w:r>
        <w:rPr>
          <w:iCs/>
          <w:i/>
        </w:rPr>
        <w:t xml:space="preserve">This document serves as an analytical overview for policymakers, school administrators, and educational stakeholders interested in the specifics of secondary teaching within the unique context of Greater Manchester.</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Secondary Teacher in Manchester</dc:title>
  <dc:creator/>
  <dc:language>en</dc:language>
  <cp:keywords/>
  <dcterms:created xsi:type="dcterms:W3CDTF">2026-07-29T08:20:02Z</dcterms:created>
  <dcterms:modified xsi:type="dcterms:W3CDTF">2026-07-29T08:20:02Z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