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Teacher</w:t>
      </w:r>
      <w:r>
        <w:t xml:space="preserve"> </w:t>
      </w:r>
      <w:r>
        <w:t xml:space="preserve">Deployment</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175f6a64a2284de4740ef7f8a10b459d600bfb8"/>
    <w:p>
      <w:pPr>
        <w:pStyle w:val="Heading1"/>
      </w:pPr>
      <w:r>
        <w:t xml:space="preserve">Educational Leadership in South Florida: A Case Study on Secondary Teacher Recruitment and Retention in United States Miami</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Greater Miami-Dade Metropolitan Area, United States Miami</w:t>
      </w:r>
    </w:p>
    <w:bookmarkStart w:id="20" w:name="executive-summary"/>
    <w:p>
      <w:pPr>
        <w:pStyle w:val="Heading2"/>
      </w:pPr>
      <w:r>
        <w:t xml:space="preserve">1. Executive Summary</w:t>
      </w:r>
    </w:p>
    <w:p>
      <w:pPr>
        <w:pStyle w:val="FirstParagraph"/>
      </w:pPr>
      <w:r>
        <w:t xml:space="preserve">The educational landscape of the</w:t>
      </w:r>
      <w:r>
        <w:t xml:space="preserve"> </w:t>
      </w:r>
      <w:r>
        <w:rPr>
          <w:bCs/>
          <w:b/>
        </w:rPr>
        <w:t xml:space="preserve">United States Miami</w:t>
      </w:r>
      <w:r>
        <w:t xml:space="preserve">, specifically within the vibrant and diverse metropolis of South Florida, presents unique pedagogical challenges and opportunities. This case study analyzes the critical transition period for a newly appointed Secondary Teacher within this specific geographic context. The focus is on understanding how cultural competency, linguistic diversity, and urban classroom dynamics intersect to shape professional efficacy. By examining the journey of an educator in</w:t>
      </w:r>
      <w:r>
        <w:t xml:space="preserve"> </w:t>
      </w:r>
      <w:r>
        <w:rPr>
          <w:bCs/>
          <w:b/>
        </w:rPr>
        <w:t xml:space="preserve">United States Miami</w:t>
      </w:r>
      <w:r>
        <w:t xml:space="preserve">, we aim to identify best practices for supporting a Secondary Teacher during their first three years, ensuring high-quality instruction for a heterogeneous student body.</w:t>
      </w:r>
    </w:p>
    <w:bookmarkEnd w:id="20"/>
    <w:bookmarkStart w:id="21" w:name="Xe42cf0b33b686bebd4bf22a7b6241d7c31c1c72"/>
    <w:p>
      <w:pPr>
        <w:pStyle w:val="Heading2"/>
      </w:pPr>
      <w:r>
        <w:t xml:space="preserve">2. Contextual Background: The United States Miami Environment</w:t>
      </w:r>
    </w:p>
    <w:p>
      <w:pPr>
        <w:pStyle w:val="FirstParagraph"/>
      </w:pPr>
      <w:r>
        <w:t xml:space="preserve">To understand the role of the Secondary Teacher in this region, one must first appreciate the socio-economic and cultural fabric of</w:t>
      </w:r>
      <w:r>
        <w:t xml:space="preserve"> </w:t>
      </w:r>
      <w:r>
        <w:rPr>
          <w:bCs/>
          <w:b/>
        </w:rPr>
        <w:t xml:space="preserve">United States Miami</w:t>
      </w:r>
      <w:r>
        <w:t xml:space="preserve">. Unlike rural or suburban educational settings, schools in</w:t>
      </w:r>
      <w:r>
        <w:t xml:space="preserve"> </w:t>
      </w:r>
      <w:r>
        <w:rPr>
          <w:bCs/>
          <w:b/>
        </w:rPr>
        <w:t xml:space="preserve">United States Miami</w:t>
      </w:r>
      <w:r>
        <w:t xml:space="preserve"> </w:t>
      </w:r>
      <w:r>
        <w:t xml:space="preserve">operate within a hyper-diverse ecosystem. The student population is characterized by rapid demographic shifts, with significant populations of Hispanic/Latino students (particularly Cuban, Venezuelan, and Colombian backgrounds), African American students, and recent immigrants from the Caribbean and Latin America.</w:t>
      </w:r>
    </w:p>
    <w:p>
      <w:pPr>
        <w:pStyle w:val="BodyText"/>
      </w:pPr>
      <w:r>
        <w:t xml:space="preserve">The climate of</w:t>
      </w:r>
      <w:r>
        <w:t xml:space="preserve"> </w:t>
      </w:r>
      <w:r>
        <w:rPr>
          <w:bCs/>
          <w:b/>
        </w:rPr>
        <w:t xml:space="preserve">United States Miami</w:t>
      </w:r>
      <w:r>
        <w:t xml:space="preserve"> </w:t>
      </w:r>
      <w:r>
        <w:t xml:space="preserve">also influences school operations. High humidity during the rainy season affects student attendance patterns, while hurricane preparedness protocols require rigorous administrative coordination. These external factors directly impact curriculum delivery, necessitating that a Secondary Teacher possess not only subject matter expertise but also strong adaptability and emergency management awareness.</w:t>
      </w:r>
    </w:p>
    <w:bookmarkEnd w:id="21"/>
    <w:bookmarkStart w:id="23" w:name="X87f19d3cdc5175ec7e1a5b2365e21a8d7013945"/>
    <w:p>
      <w:pPr>
        <w:pStyle w:val="Heading2"/>
      </w:pPr>
      <w:r>
        <w:t xml:space="preserve">3. The Protagonist: Profile of the Secondary Teacher</w:t>
      </w:r>
    </w:p>
    <w:p>
      <w:pPr>
        <w:pStyle w:val="FirstParagraph"/>
      </w:pPr>
      <w:r>
        <w:t xml:space="preserve">The subject of this case study is "Elena," a Secondary Teacher with five years of experience in a suburban setting in the Northeast United States. Elena was hired by a high school located in central</w:t>
      </w:r>
      <w:r>
        <w:t xml:space="preserve"> </w:t>
      </w:r>
      <w:r>
        <w:rPr>
          <w:bCs/>
          <w:b/>
        </w:rPr>
        <w:t xml:space="preserve">United States Miami</w:t>
      </w:r>
      <w:r>
        <w:t xml:space="preserve">. Her assignment involves teaching 10th Grade World History and AP Human Geography. While Elena possesses strong pedagogical skills, her prior experience did not prepare her for the specific nuances of</w:t>
      </w:r>
      <w:r>
        <w:t xml:space="preserve"> </w:t>
      </w:r>
      <w:r>
        <w:rPr>
          <w:bCs/>
          <w:b/>
        </w:rPr>
        <w:t xml:space="preserve">United States Miami</w:t>
      </w:r>
      <w:r>
        <w:t xml:space="preserve">.</w:t>
      </w:r>
    </w:p>
    <w:bookmarkStart w:id="22" w:name="Xb3106dd3c531fe1ac47197ddd105d5c6b40957e"/>
    <w:p>
      <w:pPr>
        <w:pStyle w:val="Heading3"/>
      </w:pPr>
      <w:r>
        <w:t xml:space="preserve">3.1 Initial Challenges Faced by the Secondary Teacher</w:t>
      </w:r>
    </w:p>
    <w:p>
      <w:pPr>
        <w:pStyle w:val="FirstParagraph"/>
      </w:pPr>
      <w:r>
        <w:rPr>
          <w:bCs/>
          <w:b/>
        </w:rPr>
        <w:t xml:space="preserve">Linguistic Barriers:</w:t>
      </w:r>
      <w:r>
        <w:t xml:space="preserve"> </w:t>
      </w:r>
      <w:r>
        <w:t xml:space="preserve">Upon arrival in</w:t>
      </w:r>
      <w:r>
        <w:t xml:space="preserve"> </w:t>
      </w:r>
      <w:r>
        <w:rPr>
          <w:bCs/>
          <w:b/>
        </w:rPr>
        <w:t xml:space="preserve">United States Miami</w:t>
      </w:r>
      <w:r>
        <w:t xml:space="preserve">, Elena discovered that while many students were bilingual, the code-switching between English and Spanish (or Haitian Creole) was complex. A secondary teacher cannot rely solely on standard English instruction; they must employ scaffolded language strategies to support Emergent Bilinguals (EBs), a significant demographic in this region.</w:t>
      </w:r>
    </w:p>
    <w:p>
      <w:pPr>
        <w:pStyle w:val="BodyText"/>
      </w:pPr>
      <w:r>
        <w:rPr>
          <w:bCs/>
          <w:b/>
        </w:rPr>
        <w:t xml:space="preserve">Cultural Nuances:</w:t>
      </w:r>
      <w:r>
        <w:t xml:space="preserve"> </w:t>
      </w:r>
      <w:r>
        <w:t xml:space="preserve">The concept of time, communication styles, and family engagement varied significantly from Elena’s previous district. In</w:t>
      </w:r>
      <w:r>
        <w:t xml:space="preserve"> </w:t>
      </w:r>
      <w:r>
        <w:rPr>
          <w:bCs/>
          <w:b/>
        </w:rPr>
        <w:t xml:space="preserve">United States Miami</w:t>
      </w:r>
      <w:r>
        <w:t xml:space="preserve">, parent-teacher conferences required different approaches than those she was accustomed to. Families often viewed the school as a partner but expected more personalized attention due to historical marginalization in other educational systems.</w:t>
      </w:r>
    </w:p>
    <w:p>
      <w:pPr>
        <w:pStyle w:val="BodyText"/>
      </w:pPr>
      <w:r>
        <w:rPr>
          <w:bCs/>
          <w:b/>
        </w:rPr>
        <w:t xml:space="preserve">Trauma-Informed Care:</w:t>
      </w:r>
      <w:r>
        <w:t xml:space="preserve"> </w:t>
      </w:r>
      <w:r>
        <w:t xml:space="preserve">Many students in</w:t>
      </w:r>
      <w:r>
        <w:t xml:space="preserve"> </w:t>
      </w:r>
      <w:r>
        <w:rPr>
          <w:bCs/>
          <w:b/>
        </w:rPr>
        <w:t xml:space="preserve">United States Miami</w:t>
      </w:r>
      <w:r>
        <w:t xml:space="preserve"> </w:t>
      </w:r>
      <w:r>
        <w:t xml:space="preserve">arrive with histories of migration trauma or instability related to political situations in their home countries. A Secondary Teacher must be trained to recognize signs of anxiety and displacement, integrating social-emotional learning (SEL) into academic content without sacrificing rigor.</w:t>
      </w:r>
    </w:p>
    <w:bookmarkEnd w:id="22"/>
    <w:bookmarkEnd w:id="23"/>
    <w:bookmarkStart w:id="27" w:name="Xb4927657e3dc76d3a0f9555bee5caf90e101cac"/>
    <w:p>
      <w:pPr>
        <w:pStyle w:val="Heading2"/>
      </w:pPr>
      <w:r>
        <w:t xml:space="preserve">4. Intervention Strategy: Supporting the Secondary Teacher</w:t>
      </w:r>
    </w:p>
    <w:p>
      <w:pPr>
        <w:pStyle w:val="FirstParagraph"/>
      </w:pPr>
      <w:r>
        <w:t xml:space="preserve">To ensure Elena’s success as a Secondary Teacher in</w:t>
      </w:r>
      <w:r>
        <w:t xml:space="preserve"> </w:t>
      </w:r>
      <w:r>
        <w:rPr>
          <w:bCs/>
          <w:b/>
        </w:rPr>
        <w:t xml:space="preserve">United States Miami</w:t>
      </w:r>
      <w:r>
        <w:t xml:space="preserve">, the school administration implemented a three-tiered support system designed to bridge the gap between her existing skills and local requirements.</w:t>
      </w:r>
    </w:p>
    <w:bookmarkStart w:id="24" w:name="mentorship-and-peer-collaboration"/>
    <w:p>
      <w:pPr>
        <w:pStyle w:val="Heading3"/>
      </w:pPr>
      <w:r>
        <w:t xml:space="preserve">4.1 Mentorship and Peer Collaboration</w:t>
      </w:r>
    </w:p>
    <w:p>
      <w:pPr>
        <w:pStyle w:val="FirstParagraph"/>
      </w:pPr>
      <w:r>
        <w:t xml:space="preserve">Elena was paired with a veteran Secondary Teacher who had over ten years of experience in</w:t>
      </w:r>
      <w:r>
        <w:t xml:space="preserve"> </w:t>
      </w:r>
      <w:r>
        <w:rPr>
          <w:bCs/>
          <w:b/>
        </w:rPr>
        <w:t xml:space="preserve">United States Miami</w:t>
      </w:r>
      <w:r>
        <w:t xml:space="preserve">. This mentor provided insights into navigating district bureaucracy, understanding the specific needs of students from various Caribbean nations, and managing classroom behavior in high-density urban classrooms. Weekly debriefing sessions allowed Elena to reflect on her lessons specifically through the lens of local cultural relevance.</w:t>
      </w:r>
    </w:p>
    <w:bookmarkEnd w:id="24"/>
    <w:bookmarkStart w:id="25" w:name="X91d4430538498b1127432594bbd55b8faed4ea2"/>
    <w:p>
      <w:pPr>
        <w:pStyle w:val="Heading3"/>
      </w:pPr>
      <w:r>
        <w:t xml:space="preserve">4.2 Professional Development on Cultural Responsiveness</w:t>
      </w:r>
    </w:p>
    <w:p>
      <w:pPr>
        <w:pStyle w:val="FirstParagraph"/>
      </w:pPr>
      <w:r>
        <w:t xml:space="preserve">The school mandated specialized training for all new Secondary Teachers focusing on "Culturally Sustaining Pedagogy in a Global City." This professional development helped Elena understand how to incorporate Miami’s history, art, and political dynamics into the World History curriculum. By connecting AP Human Geography concepts to the migration patterns visible in</w:t>
      </w:r>
      <w:r>
        <w:t xml:space="preserve"> </w:t>
      </w:r>
      <w:r>
        <w:rPr>
          <w:bCs/>
          <w:b/>
        </w:rPr>
        <w:t xml:space="preserve">United States Miami</w:t>
      </w:r>
      <w:r>
        <w:t xml:space="preserve">, students became more engaged. The Secondary Teacher learned to use local case studies—such as urban development in Brickell or agricultural impacts on the Everglades—to make abstract concepts tangible.</w:t>
      </w:r>
    </w:p>
    <w:bookmarkEnd w:id="25"/>
    <w:bookmarkStart w:id="26" w:name="X182ecfdfd80bb52c35f01e10fa734d5ee45caa9"/>
    <w:p>
      <w:pPr>
        <w:pStyle w:val="Heading3"/>
      </w:pPr>
      <w:r>
        <w:t xml:space="preserve">4.3 Family and Community Engagement Workshops</w:t>
      </w:r>
    </w:p>
    <w:p>
      <w:pPr>
        <w:pStyle w:val="FirstParagraph"/>
      </w:pPr>
      <w:r>
        <w:t xml:space="preserve">A critical component of the support system involved training Elena in community outreach specific to</w:t>
      </w:r>
      <w:r>
        <w:t xml:space="preserve"> </w:t>
      </w:r>
      <w:r>
        <w:rPr>
          <w:bCs/>
          <w:b/>
        </w:rPr>
        <w:t xml:space="preserve">United States Miami</w:t>
      </w:r>
      <w:r>
        <w:t xml:space="preserve">. She learned to utilize bilingual communication tools effectively and understood the importance of "home visits" (or virtual equivalents) to build trust with families who might be wary of institutional authority. The school facilitated partnerships with local community centers, allowing the Secondary Teacher to gain a broader perspective on student life outside the classroom.</w:t>
      </w:r>
    </w:p>
    <w:bookmarkEnd w:id="26"/>
    <w:bookmarkEnd w:id="27"/>
    <w:bookmarkStart w:id="28" w:name="outcomes-and-impact"/>
    <w:p>
      <w:pPr>
        <w:pStyle w:val="Heading2"/>
      </w:pPr>
      <w:r>
        <w:t xml:space="preserve">5. Outcomes and Impact</w:t>
      </w:r>
    </w:p>
    <w:p>
      <w:pPr>
        <w:pStyle w:val="FirstParagraph"/>
      </w:pPr>
      <w:r>
        <w:t xml:space="preserve">After two academic years, Elena’s performance as a Secondary Teacher in</w:t>
      </w:r>
      <w:r>
        <w:t xml:space="preserve"> </w:t>
      </w:r>
      <w:r>
        <w:rPr>
          <w:bCs/>
          <w:b/>
        </w:rPr>
        <w:t xml:space="preserve">United States Miami</w:t>
      </w:r>
      <w:r>
        <w:t xml:space="preserve"> </w:t>
      </w:r>
      <w:r>
        <w:t xml:space="preserve">showed marked improvement. Student feedback indicated that she was more attuned to their cultural backgrounds and learning styles. Her AP Human Geography class saw a 15% increase in pass rates compared to her first year, attributed largely to her ability to relate global concepts to the immediate environment of</w:t>
      </w:r>
      <w:r>
        <w:t xml:space="preserve"> </w:t>
      </w:r>
      <w:r>
        <w:rPr>
          <w:bCs/>
          <w:b/>
        </w:rPr>
        <w:t xml:space="preserve">United States Miami</w:t>
      </w:r>
      <w:r>
        <w:t xml:space="preserve">.</w:t>
      </w:r>
    </w:p>
    <w:p>
      <w:pPr>
        <w:pStyle w:val="BodyText"/>
      </w:pPr>
      <w:r>
        <w:t xml:space="preserve">Mentorship proved vital in helping her navigate the unique administrative requirements of Florida’s education system while maintaining a focus on holistic student development. Furthermore, Elena reported higher job satisfaction and lower burnout levels, citing a strong sense of belonging within the faculty and the wider</w:t>
      </w:r>
      <w:r>
        <w:t xml:space="preserve"> </w:t>
      </w:r>
      <w:r>
        <w:rPr>
          <w:bCs/>
          <w:b/>
        </w:rPr>
        <w:t xml:space="preserve">United States Miami</w:t>
      </w:r>
      <w:r>
        <w:t xml:space="preserve"> </w:t>
      </w:r>
      <w:r>
        <w:t xml:space="preserve">educational community.</w:t>
      </w:r>
    </w:p>
    <w:bookmarkEnd w:id="28"/>
    <w:bookmarkStart w:id="29" w:name="X8def7787612343253bf1db76e3a50e8d1224591"/>
    <w:p>
      <w:pPr>
        <w:pStyle w:val="Heading2"/>
      </w:pPr>
      <w:r>
        <w:t xml:space="preserve">6. Discussion: Implications for Future Secondary Teacher Recruitment</w:t>
      </w:r>
    </w:p>
    <w:p>
      <w:pPr>
        <w:pStyle w:val="FirstParagraph"/>
      </w:pPr>
      <w:r>
        <w:t xml:space="preserve">This case study highlights that hiring a qualified Secondary Teacher is not enough; contextual onboarding is essential, particularly in dynamic regions like</w:t>
      </w:r>
      <w:r>
        <w:t xml:space="preserve"> </w:t>
      </w:r>
      <w:r>
        <w:rPr>
          <w:bCs/>
          <w:b/>
        </w:rPr>
        <w:t xml:space="preserve">United States Miami</w:t>
      </w:r>
      <w:r>
        <w:t xml:space="preserve">. The diversity of</w:t>
      </w:r>
      <w:r>
        <w:t xml:space="preserve"> </w:t>
      </w:r>
      <w:r>
        <w:rPr>
          <w:bCs/>
          <w:b/>
        </w:rPr>
        <w:t xml:space="preserve">United States Miami</w:t>
      </w:r>
      <w:r>
        <w:t xml:space="preserve"> </w:t>
      </w:r>
      <w:r>
        <w:t xml:space="preserve">requires educators who are adaptable, empathetic, and culturally competent. Schools must invest in robust induction programs that address linguistic diversity and trauma-informed practices.</w:t>
      </w:r>
    </w:p>
    <w:p>
      <w:pPr>
        <w:pStyle w:val="BodyText"/>
      </w:pPr>
      <w:r>
        <w:t xml:space="preserve">The success of Elena demonstrates that when a Secondary Teacher is supported by targeted interventions tailored to the specific realities of</w:t>
      </w:r>
      <w:r>
        <w:t xml:space="preserve"> </w:t>
      </w:r>
      <w:r>
        <w:rPr>
          <w:bCs/>
          <w:b/>
        </w:rPr>
        <w:t xml:space="preserve">United States Miami</w:t>
      </w:r>
      <w:r>
        <w:t xml:space="preserve">, they can become effective agents of change. The integration of local context into national standards allows students to see their own lives reflected in their education, fostering deeper engagement and academic success.</w:t>
      </w:r>
    </w:p>
    <w:bookmarkEnd w:id="29"/>
    <w:bookmarkStart w:id="30" w:name="conclusion"/>
    <w:p>
      <w:pPr>
        <w:pStyle w:val="Heading2"/>
      </w:pPr>
      <w:r>
        <w:t xml:space="preserve">7. Conclusion</w:t>
      </w:r>
    </w:p>
    <w:p>
      <w:pPr>
        <w:pStyle w:val="FirstParagraph"/>
      </w:pPr>
      <w:r>
        <w:t xml:space="preserve">The journey of a Secondary Teacher in</w:t>
      </w:r>
      <w:r>
        <w:t xml:space="preserve"> </w:t>
      </w:r>
      <w:r>
        <w:rPr>
          <w:bCs/>
          <w:b/>
        </w:rPr>
        <w:t xml:space="preserve">United States Miami</w:t>
      </w:r>
      <w:r>
        <w:t xml:space="preserve"> </w:t>
      </w:r>
      <w:r>
        <w:t xml:space="preserve">is complex but immensely rewarding. It requires a departure from standardized, one-size-fits-all approaches to education. By acknowledging the unique socio-cultural landscape of</w:t>
      </w:r>
      <w:r>
        <w:t xml:space="preserve"> </w:t>
      </w:r>
      <w:r>
        <w:rPr>
          <w:bCs/>
          <w:b/>
        </w:rPr>
        <w:t xml:space="preserve">United States Miami</w:t>
      </w:r>
      <w:r>
        <w:t xml:space="preserve">, educational leaders can create environments where Secondary Teachers thrive, thereby improving outcomes for the diverse student population they serve. Future research should focus on longitudinal studies of Secondary Teacher retention in high-diversity urban centers to further refine these support structures.</w:t>
      </w:r>
    </w:p>
    <w:p>
      <w:r>
        <w:pict>
          <v:rect style="width:0;height:1.5pt" o:hralign="center" o:hrstd="t" o:hr="t"/>
        </w:pict>
      </w:r>
    </w:p>
    <w:p>
      <w:pPr>
        <w:pStyle w:val="FirstParagraph"/>
      </w:pPr>
      <w:r>
        <w:rPr>
          <w:iCs/>
          <w:i/>
        </w:rPr>
        <w:t xml:space="preserve">This document is intended for internal use by school administrators, district policymakers, and educational researchers focusing on secondary education reform in metropolitan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Teacher Deployment in United States Miami</dc:title>
  <dc:creator/>
  <dc:language>en</dc:language>
  <cp:keywords/>
  <dcterms:created xsi:type="dcterms:W3CDTF">2026-07-29T22:23:15Z</dcterms:created>
  <dcterms:modified xsi:type="dcterms:W3CDTF">2026-07-29T22:23:15Z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