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Secondary</w:t>
      </w:r>
      <w:r>
        <w:t xml:space="preserve"> </w:t>
      </w:r>
      <w:r>
        <w:t xml:space="preserve">Teacher</w:t>
      </w:r>
      <w:r>
        <w:t xml:space="preserve"> </w:t>
      </w:r>
      <w:r>
        <w:t xml:space="preserve">in</w:t>
      </w:r>
      <w:r>
        <w:t xml:space="preserve"> </w:t>
      </w:r>
      <w:r>
        <w:t xml:space="preserve">Uzbekistan,</w:t>
      </w:r>
      <w:r>
        <w:t xml:space="preserve"> </w:t>
      </w:r>
      <w:r>
        <w:t xml:space="preserve">Tashkent</w:t>
      </w:r>
    </w:p>
    <w:bookmarkStart w:id="30" w:name="X24a9fbca32ce223a216b80b4ef655a2c5aaea4a"/>
    <w:p>
      <w:pPr>
        <w:pStyle w:val="Heading1"/>
      </w:pPr>
      <w:r>
        <w:t xml:space="preserve">The Transformation of the Secondary Teacher in Uzbekistan, Tashkent: A Case Study on Pedagogical Modernization and Digital Integration</w:t>
      </w:r>
    </w:p>
    <w:p>
      <w:pPr>
        <w:pStyle w:val="FirstParagraph"/>
      </w:pPr>
      <w:r>
        <w:rPr>
          <w:bCs/>
          <w:b/>
        </w:rPr>
        <w:t xml:space="preserve">Date:</w:t>
      </w:r>
      <w:r>
        <w:t xml:space="preserve"> </w:t>
      </w:r>
      <w:r>
        <w:t xml:space="preserve">October 2023</w:t>
      </w:r>
      <w:r>
        <w:br/>
      </w:r>
      <w:r>
        <w:rPr>
          <w:bCs/>
          <w:b/>
        </w:rPr>
        <w:t xml:space="preserve">Region:</w:t>
      </w:r>
      <w:r>
        <w:t xml:space="preserve">Tashkent, Uzbekistan</w:t>
      </w:r>
      <w:r>
        <w:br/>
      </w:r>
      <w:r>
        <w:t xml:space="preserve">Secondary Education Reform</w:t>
      </w:r>
    </w:p>
    <w:bookmarkStart w:id="20" w:name="executive-summary"/>
    <w:p>
      <w:pPr>
        <w:pStyle w:val="Heading2"/>
      </w:pPr>
      <w:r>
        <w:t xml:space="preserve">1. Executive Summary</w:t>
      </w:r>
    </w:p>
    <w:p>
      <w:pPr>
        <w:pStyle w:val="FirstParagraph"/>
      </w:pPr>
      <w:r>
        <w:t xml:space="preserve">This</w:t>
      </w:r>
      <w:r>
        <w:t xml:space="preserve"> </w:t>
      </w:r>
      <w:r>
        <w:t xml:space="preserve">Case Study</w:t>
      </w:r>
      <w:r>
        <w:t xml:space="preserve">, titled "The Transformation of the Secondary Teacher in Uzbekistan, Tashkent," aims to examine the profound shifts occurring within the educational landscape of Central Asia’s capital. Over the past decade, Uzbekistan has embarked on an ambitious path of systemic reform, driven by a national desire to modernize its economy and integrate into the global knowledge society. At heart these reforms is a critical demographic figure:</w:t>
      </w:r>
      <w:r>
        <w:t xml:space="preserve"> </w:t>
      </w:r>
      <w:r>
        <w:t xml:space="preserve">the Secondary Teacher</w:t>
      </w:r>
      <w:r>
        <w:t xml:space="preserve">. This document explores how teachers in Tashkent are adapting to new curricula, digital tools, and changing student expectations. It provides a comprehensive analysis of the challenges faced by educators at the secondary level (grades 5-11) and highlights successful strategies that have emerged from this transformative period.</w:t>
      </w:r>
    </w:p>
    <w:bookmarkEnd w:id="20"/>
    <w:bookmarkStart w:id="21" w:name="Xefd1ade75e64fb366110263c0c70007d52810fd"/>
    <w:p>
      <w:pPr>
        <w:pStyle w:val="Heading2"/>
      </w:pPr>
      <w:r>
        <w:t xml:space="preserve">2. Introduction: The Context of Change in Tashkent</w:t>
      </w:r>
    </w:p>
    <w:p>
      <w:pPr>
        <w:pStyle w:val="FirstParagraph"/>
      </w:pPr>
      <w:r>
        <w:t xml:space="preserve">Tashkent, as the largest city in Uzbekistan and its administrative center, serves as the primary laboratory for educational innovation. The government has identified human capital development as the cornerstone of national strategy. Consequently, the role of a</w:t>
      </w:r>
      <w:r>
        <w:t xml:space="preserve"> </w:t>
      </w:r>
      <w:r>
        <w:t xml:space="preserve">Secondary Teacher</w:t>
      </w:r>
      <w:r>
        <w:t xml:space="preserve"> </w:t>
      </w:r>
      <w:r>
        <w:t xml:space="preserve">is no longer defined merely by knowledge transmission but by facilitation, critical thinking stimulation, and technological integration.</w:t>
      </w:r>
    </w:p>
    <w:p>
      <w:pPr>
        <w:pStyle w:val="BodyText"/>
      </w:pPr>
      <w:r>
        <w:t xml:space="preserve">In previous decades secondary education in Uzbekistan was heavily rote-based. However recent policy directives have mandated a shift toward competency-based learning. This transition places immense pressure on the existing workforce of</w:t>
      </w:r>
      <w:r>
        <w:t xml:space="preserve"> </w:t>
      </w:r>
      <w:r>
        <w:t xml:space="preserve">Secondary Teachers</w:t>
      </w:r>
      <w:r>
        <w:t xml:space="preserve">. Many entered the profession under old paradigms and now face a steep learning curve to meet new standards. This</w:t>
      </w:r>
      <w:r>
        <w:t xml:space="preserve"> </w:t>
      </w:r>
      <w:r>
        <w:t xml:space="preserve">Case Study</w:t>
      </w:r>
      <w:r>
        <w:t xml:space="preserve"> </w:t>
      </w:r>
      <w:r>
        <w:t xml:space="preserve">investigates whether the current support systems in Tashkent are sufficient to bridge this gap.</w:t>
      </w:r>
    </w:p>
    <w:bookmarkEnd w:id="21"/>
    <w:bookmarkStart w:id="24" w:name="Xfd4851b267287e02b76086289d13bee284dd9e4"/>
    <w:p>
      <w:pPr>
        <w:pStyle w:val="Heading2"/>
      </w:pPr>
      <w:r>
        <w:t xml:space="preserve">3. Profile of the Secondary Teacher in Tashkent</w:t>
      </w:r>
    </w:p>
    <w:p>
      <w:pPr>
        <w:pStyle w:val="FirstParagraph"/>
      </w:pPr>
      <w:r>
        <w:t xml:space="preserve">To understand the dynamics, we must first profile the typical</w:t>
      </w:r>
      <w:r>
        <w:t xml:space="preserve"> </w:t>
      </w:r>
      <w:r>
        <w:t xml:space="preserve">Secondary Teacher</w:t>
      </w:r>
      <w:r>
        <w:t xml:space="preserve">. In Tashkent, this demographic is a mix of:</w:t>
      </w:r>
    </w:p>
    <w:p>
      <w:pPr>
        <w:numPr>
          <w:ilvl w:val="0"/>
          <w:numId w:val="1001"/>
        </w:numPr>
        <w:pStyle w:val="Compact"/>
      </w:pPr>
      <w:r>
        <w:rPr>
          <w:bCs/>
          <w:b/>
        </w:rPr>
        <w:t xml:space="preserve">Veteran Educators:</w:t>
      </w:r>
      <w:r>
        <w:t xml:space="preserve"> </w:t>
      </w:r>
      <w:r>
        <w:t xml:space="preserve">Highly experienced but often resistant to change due to entrenched habits and lack of recent pedagogical training.</w:t>
      </w:r>
    </w:p>
    <w:p>
      <w:pPr>
        <w:numPr>
          <w:ilvl w:val="0"/>
          <w:numId w:val="1001"/>
        </w:numPr>
        <w:pStyle w:val="Compact"/>
      </w:pPr>
      <w:r>
        <w:t xml:space="preserve">Mid-Career Professionals: Teachers aged 30-50 who are open to change but may struggle with the technical aspects of new digital curricula.</w:t>
      </w:r>
    </w:p>
    <w:p>
      <w:pPr>
        <w:numPr>
          <w:ilvl w:val="0"/>
          <w:numId w:val="1001"/>
        </w:numPr>
        <w:pStyle w:val="Compact"/>
      </w:pPr>
      <w:r>
        <w:t xml:space="preserve">New Graduates: Young, tech-savvy teachers eager to implement modern methods but lacking classroom management experience.</w:t>
      </w:r>
    </w:p>
    <w:p>
      <w:pPr>
        <w:pStyle w:val="FirstParagraph"/>
      </w:pPr>
      <w:r>
        <w:t xml:space="preserve">This diversity creates a complex professional environment. The</w:t>
      </w:r>
      <w:r>
        <w:t xml:space="preserve"> </w:t>
      </w:r>
      <w:r>
        <w:t xml:space="preserve">Case Study</w:t>
      </w:r>
      <w:r>
        <w:t xml:space="preserve"> </w:t>
      </w:r>
      <w:r>
        <w:t xml:space="preserve">reveals that collaboration between these groups is essential for sustainable improvement in Tashkent’s schools.</w:t>
      </w:r>
    </w:p>
    <w:p>
      <w:pPr>
        <w:pStyle w:val="BodyText"/>
      </w:pPr>
      <w:r>
        <w:t xml:space="preserve">. Current Challenges and Barriers to Development</w:t>
      </w:r>
      <w:r>
        <w:rPr>
          <w:bCs/>
          <w:b/>
        </w:rPr>
        <w:t xml:space="preserve">The Digital Divide:</w:t>
      </w:r>
    </w:p>
    <w:p>
      <w:pPr>
        <w:pStyle w:val="BodyText"/>
      </w:pPr>
      <w:r>
        <w:t xml:space="preserve">Secondary Teachers often find themselves unprepared to integrate digital tools effectively into their lesson plans. The gap between teacher digital literacy and student digital proficiency is a major concern.</w:t>
      </w:r>
    </w:p>
    <w:bookmarkStart w:id="22" w:name="curriculum-overload-and-time-management"/>
    <w:p>
      <w:pPr>
        <w:pStyle w:val="Heading3"/>
      </w:pPr>
      <w:r>
        <w:t xml:space="preserve">4.2 Curriculum Overload and Time Management</w:t>
      </w:r>
    </w:p>
    <w:p>
      <w:pPr>
        <w:pStyle w:val="FirstParagraph"/>
      </w:pPr>
      <w:r>
        <w:t xml:space="preserve">The new curriculum requires more project-based learning and interdisciplinary work. Teachers report feeling overwhelmed by the administrative burden of tracking student competencies rather than just test scores This has led to burnout among</w:t>
      </w:r>
      <w:r>
        <w:t xml:space="preserve"> </w:t>
      </w:r>
      <w:r>
        <w:t xml:space="preserve">Secondary Teachers</w:t>
      </w:r>
      <w:r>
        <w:t xml:space="preserve"> </w:t>
      </w:r>
      <w:r>
        <w:t xml:space="preserve">in Tashkent.</w:t>
      </w:r>
    </w:p>
    <w:bookmarkEnd w:id="22"/>
    <w:bookmarkStart w:id="23" w:name="X01eec51af727adc050afc239ca091467a271a2e"/>
    <w:p>
      <w:pPr>
        <w:pStyle w:val="Heading3"/>
      </w:pPr>
      <w:r>
        <w:t xml:space="preserve">4.3 Societal Expectations vs. Pedagogical Reality:</w:t>
      </w:r>
    </w:p>
    <w:bookmarkEnd w:id="23"/>
    <w:bookmarkEnd w:id="24"/>
    <w:bookmarkStart w:id="28" w:name="X2a7c2aad4a241b5585949288e24d1d2c9802623"/>
    <w:p>
      <w:pPr>
        <w:pStyle w:val="Heading2"/>
      </w:pPr>
      <w:r>
        <w:t xml:space="preserve">. Successful Interventions and Best Practices</w:t>
      </w:r>
    </w:p>
    <w:bookmarkStart w:id="25" w:name="professional-learning-communities-plcs"/>
    <w:p>
      <w:pPr>
        <w:pStyle w:val="Heading3"/>
      </w:pPr>
      <w:r>
        <w:t xml:space="preserve">5.1 Professional Learning Communities (PLCs)</w:t>
      </w:r>
    </w:p>
    <w:p>
      <w:pPr>
        <w:pStyle w:val="FirstParagraph"/>
      </w:pPr>
      <w:r>
        <w:t xml:space="preserve">A notable success factor is the establishment of PLCs within schools. In this</w:t>
      </w:r>
      <w:r>
        <w:t xml:space="preserve"> </w:t>
      </w:r>
      <w:r>
        <w:t xml:space="preserve">Case Study</w:t>
      </w:r>
      <w:r>
        <w:t xml:space="preserve">, we observe that when</w:t>
      </w:r>
      <w:r>
        <w:t xml:space="preserve"> </w:t>
      </w:r>
      <w:r>
        <w:t xml:space="preserve">Secondary Teachers</w:t>
      </w:r>
      <w:r>
        <w:t xml:space="preserve"> </w:t>
      </w:r>
      <w:r>
        <w:t xml:space="preserve">regularly meet to share resources and troubleshoot problems their efficacy increases significantly. Schools like those in the Mirzo Ulugbek district of Tashkent have demonstrated that peer mentoring reduces isolation and fosters innovation.</w:t>
      </w:r>
    </w:p>
    <w:bookmarkEnd w:id="25"/>
    <w:bookmarkStart w:id="26" w:name="government-led-digital-training-programs"/>
    <w:p>
      <w:pPr>
        <w:pStyle w:val="Heading3"/>
      </w:pPr>
      <w:r>
        <w:t xml:space="preserve">5.2 Government-Led Digital Training Programs</w:t>
      </w:r>
    </w:p>
    <w:p>
      <w:pPr>
        <w:pStyle w:val="FirstParagraph"/>
      </w:pPr>
      <w:r>
        <w:t xml:space="preserve">Secondary Teachers who complete these courses show higher levels of student engagement.</w:t>
      </w:r>
    </w:p>
    <w:bookmarkEnd w:id="26"/>
    <w:bookmarkStart w:id="27" w:name="public-private-partnerships"/>
    <w:p>
      <w:pPr>
        <w:pStyle w:val="Heading3"/>
      </w:pPr>
      <w:r>
        <w:t xml:space="preserve">5.3 Public-Private Partnerships:</w:t>
      </w:r>
    </w:p>
    <w:p>
      <w:pPr>
        <w:pStyle w:val="FirstParagraph"/>
      </w:pPr>
      <w:r>
        <w:t xml:space="preserve">Collaborations with international NGOs and private tech companies have introduced new resources into Tashkent classrooms. For example, partnerships with global educational platforms have allowed</w:t>
      </w:r>
      <w:r>
        <w:t xml:space="preserve"> </w:t>
      </w:r>
      <w:r>
        <w:t xml:space="preserve">Secondary Teachers</w:t>
      </w:r>
      <w:r>
        <w:t xml:space="preserve"> </w:t>
      </w:r>
      <w:r>
        <w:t xml:space="preserve">to access high-quality content in STEM subjects, which is crucial for preparing students for the modern workforce.</w:t>
      </w:r>
    </w:p>
    <w:bookmarkEnd w:id="27"/>
    <w:bookmarkEnd w:id="28"/>
    <w:bookmarkStart w:id="29" w:name="strategic-recommendations"/>
    <w:p>
      <w:pPr>
        <w:pStyle w:val="Heading2"/>
      </w:pPr>
      <w:r>
        <w:t xml:space="preserve">. Strategic Recommendations</w:t>
      </w:r>
    </w:p>
    <w:p>
      <w:pPr>
        <w:pStyle w:val="FirstParagraph"/>
      </w:pPr>
      <w:r>
        <w:t xml:space="preserve">Case Study, several recommendations are proposed to further empower the</w:t>
      </w:r>
      <w:r>
        <w:t xml:space="preserve"> </w:t>
      </w:r>
      <w:r>
        <w:t xml:space="preserve">Secondary Teacher</w:t>
      </w:r>
    </w:p>
    <w:p>
      <w:pPr>
        <w:numPr>
          <w:ilvl w:val="0"/>
          <w:numId w:val="1002"/>
        </w:numPr>
        <w:pStyle w:val="Compact"/>
      </w:pPr>
      <w:r>
        <w:rPr>
          <w:bCs/>
          <w:b/>
        </w:rPr>
        <w:t xml:space="preserve">Continuous Professional Development (CPD):</w:t>
      </w:r>
      <w:r>
        <w:t xml:space="preserve">C PD should be mandatory and ongoing not one-off workshops. Focus areas must include mental health support alongside pedagogical skills.</w:t>
      </w:r>
    </w:p>
    <w:p>
      <w:pPr>
        <w:numPr>
          <w:ilvl w:val="0"/>
          <w:numId w:val="1002"/>
        </w:numPr>
        <w:pStyle w:val="Compact"/>
      </w:pPr>
      <w:r>
        <w:rPr>
          <w:bCs/>
          <w:b/>
        </w:rPr>
        <w:t xml:space="preserve">Infrastructure Equity:</w:t>
      </w:r>
      <w:r>
        <w:t xml:space="preserve">The government must ensure that all secondary schools in Tashkent, regardless of district have reliable internet access necessary for modern teaching.</w:t>
      </w:r>
    </w:p>
    <w:p>
      <w:pPr>
        <w:numPr>
          <w:ilvl w:val="0"/>
          <w:numId w:val="1002"/>
        </w:numPr>
        <w:pStyle w:val="Compact"/>
      </w:pPr>
      <w:r>
        <w:rPr>
          <w:bCs/>
          <w:b/>
        </w:rPr>
        <w:t xml:space="preserve">Incentive Structures:</w:t>
      </w:r>
      <w:r>
        <w:t xml:space="preserve">Rewards should be introduced for teachers who successfully implement innovative practices and mentor peers.</w:t>
      </w:r>
    </w:p>
    <w:p>
      <w:pPr>
        <w:pStyle w:val="FirstParagraph"/>
      </w:pPr>
      <w:r>
        <w:t xml:space="preserve">. ConclusionThe journey of the</w:t>
      </w:r>
      <w:r>
        <w:t xml:space="preserve"> </w:t>
      </w:r>
      <w:r>
        <w:t xml:space="preserve">Secondary Teacher</w:t>
      </w:r>
      <w:r>
        <w:t xml:space="preserve">Case Study, while significant challenges remain, the trajectory is positive. The reforms underway are not just changing what is taught but how itis taught and by whom.</w:t>
      </w:r>
    </w:p>
    <w:p>
      <w:pPr>
        <w:pStyle w:val="BodyText"/>
      </w:pPr>
      <w:r>
        <w:t xml:space="preserve">The success of Uzbekistan’s educational modernization hinges on recognizing the</w:t>
      </w:r>
      <w:r>
        <w:t xml:space="preserve"> </w:t>
      </w:r>
      <w:r>
        <w:t xml:space="preserve">Secondary Teacher</w:t>
      </w:r>
      <w:r>
        <w:t xml:space="preserve"> </w:t>
      </w:r>
      <w:r>
        <w:t xml:space="preserve">as a strategic partner rather than a mere implementer of policy. By investing in their professional growth, providing adequate resources, and fostering a supportive community Tashkent can serve as a model for other regions in Central Asia.</w:t>
      </w:r>
    </w:p>
    <w:p>
      <w:pPr>
        <w:pStyle w:val="BodyText"/>
      </w:pPr>
      <w:r>
        <w:t xml:space="preserve">In conclusion the evolution of the</w:t>
      </w:r>
      <w:r>
        <w:t xml:space="preserve"> </w:t>
      </w:r>
      <w:r>
        <w:t xml:space="preserve">Secondary Teacher</w:t>
      </w:r>
      <w:r>
        <w:t xml:space="preserve"> </w:t>
      </w:r>
      <w:r>
        <w:t xml:space="preserve">is synonymous with the evolution of Uzbekistan itself. As Tashkent continues to develop its human capital it must remain steadfast in supporting those who stand at the frontlines of this transformation: its teachers.</w:t>
      </w:r>
    </w:p>
    <w:p>
      <w:pPr>
        <w:pStyle w:val="BodyText"/>
      </w:pPr>
      <w:r>
        <w:rPr>
          <w:iCs/>
          <w:i/>
        </w:rPr>
        <w:t xml:space="preserve">Note: This document is a simulated Case Study for illustrative purposes based on general trends observed in the educational sector of Uzbekistan, Tashkent. Specific data points may vary depending on real-time statistical updates from the Ministry of Preschool and School Education.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Secondary Teacher in Uzbekistan, Tashkent</dc:title>
  <dc:creator/>
  <dc:language>en</dc:language>
  <cp:keywords/>
  <dcterms:created xsi:type="dcterms:W3CDTF">2026-07-29T15:00:15Z</dcterms:created>
  <dcterms:modified xsi:type="dcterms:W3CDTF">2026-07-29T15:00:15Z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