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8e38e92e2d487624b33c53e79dddd01dd5638a4"/>
    <w:p>
      <w:pPr>
        <w:pStyle w:val="Heading1"/>
      </w:pPr>
      <w:r>
        <w:t xml:space="preserve">The Evolving Role of Secondary Education in Vietnam Ho Chi Minh City</w:t>
      </w:r>
    </w:p>
    <w:bookmarkStart w:id="20" w:name="Xb553e0b578ec963216d999f8590cf086f94a5ce"/>
    <w:p>
      <w:pPr>
        <w:pStyle w:val="Heading2"/>
      </w:pPr>
      <w:r>
        <w:t xml:space="preserve">A Comprehensive Case Study on Teacher Secondary Dynamics, Challenges, and Strategic Adaptations</w:t>
      </w:r>
    </w:p>
    <w:p>
      <w:pPr>
        <w:pStyle w:val="FirstParagraph"/>
      </w:pPr>
      <w:r>
        <w:rPr>
          <w:bCs/>
          <w:b/>
        </w:rPr>
        <w:t xml:space="preserve">Date:</w:t>
      </w:r>
    </w:p>
    <w:p>
      <w:pPr>
        <w:pStyle w:val="BodyText"/>
      </w:pPr>
      <w:r>
        <w:rPr>
          <w:bCs/>
          <w:b/>
        </w:rPr>
        <w:t xml:space="preserve">Purpose:</w:t>
      </w:r>
    </w:p>
    <w:p>
      <w:pPr>
        <w:pStyle w:val="BodyText"/>
      </w:pPr>
      <w:r>
        <w:t xml:space="preserve">This case study aims to analyze the current state of secondary education in Vietnam Ho Chi Minh City with a specific focus on the "Teacher Secondary" demographic. It seeks to understand how educators at this pivotal level are adapting to rapid socioeconomic changes, technological integration, and shifting cultural expectations within one of Southeast Asia’s most dynamic urban centers.</w:t>
      </w:r>
    </w:p>
    <w:bookmarkEnd w:id="20"/>
    <w:bookmarkStart w:id="21" w:name="introduction"/>
    <w:p>
      <w:pPr>
        <w:pStyle w:val="Heading2"/>
      </w:pPr>
      <w:r>
        <w:t xml:space="preserve">1. Introduction</w:t>
      </w:r>
    </w:p>
    <w:p>
      <w:pPr>
        <w:pStyle w:val="FirstParagraph"/>
      </w:pPr>
      <w:r>
        <w:t xml:space="preserve">Vietnam has undergone remarkable educational reforms over the past three decades, transitioning from a system focused on basic literacy and quantity to one emphasizing quality, critical thinking, and global competitiveness. At the heart of this transformation is the secondary school teacher (referred to herein as "Teacher Secondary"), who serves as the primary conduit for pedagogical change. In Vietnam Ho Chi Minh City, often regarded as the economic engine of Vietnam, these educators face unique pressures and opportunities that differ significantly from their counterparts in rural provinces.</w:t>
      </w:r>
    </w:p>
    <w:p>
      <w:pPr>
        <w:pStyle w:val="BodyText"/>
      </w:pPr>
      <w:r>
        <w:t xml:space="preserve">The city’s rapid urbanization has led to an influx of diverse student populations, including children from migrant families and international expatriates. Consequently, the role of Teacher Secondary in Vietnam Ho Chi Minh City is no longer limited to content delivery but has expanded into that of a mentor, cultural mediator, and technology facilitator. This document explores these multidimensional roles through the lens of current educational challenges.</w:t>
      </w:r>
    </w:p>
    <w:bookmarkEnd w:id="21"/>
    <w:bookmarkStart w:id="22" w:name="X7826001f6daec33679124257cda95c99a844713"/>
    <w:p>
      <w:pPr>
        <w:pStyle w:val="Heading2"/>
      </w:pPr>
      <w:r>
        <w:t xml:space="preserve">2. Contextual Background: The Landscape in Vietnam Ho Chi Minh City</w:t>
      </w:r>
    </w:p>
    <w:p>
      <w:pPr>
        <w:pStyle w:val="FirstParagraph"/>
      </w:pPr>
      <w:r>
        <w:t xml:space="preserve">Vietnam Ho Chi Minh City is home to over eight million residents, with a youth population that is increasingly connected to global digital trends. The city boasts a mix of public schools, private institutions, and international academies. This diversity creates a complex ecosystem where "Teacher Secondary" professionals must navigate varying levels of student preparedness.</w:t>
      </w:r>
    </w:p>
    <w:p>
      <w:pPr>
        <w:pStyle w:val="BodyText"/>
      </w:pPr>
      <w:r>
        <w:t xml:space="preserve">In recent years, the Ministry of Education and Training in Vietnam has introduced new general education programs that emphasize competency-based learning rather than rote memorization. For Teacher Secondary educators in Vietnam Ho Chi Minh City, this shift requires a fundamental rethinking of classroom dynamics. The pressure to meet international standards while maintaining cultural values creates a unique tension that defines the current professional landscape.</w:t>
      </w:r>
    </w:p>
    <w:bookmarkEnd w:id="22"/>
    <w:bookmarkStart w:id="23" w:name="key-challenges-facing-teacher-secondary"/>
    <w:p>
      <w:pPr>
        <w:pStyle w:val="Heading2"/>
      </w:pPr>
      <w:r>
        <w:t xml:space="preserve">3. Key Challenges Facing Teacher Secondary</w:t>
      </w:r>
    </w:p>
    <w:p>
      <w:pPr>
        <w:pStyle w:val="FirstParagraph"/>
      </w:pPr>
      <w:r>
        <w:rPr>
          <w:bCs/>
          <w:b/>
        </w:rPr>
        <w:t xml:space="preserve">A. Digital Transformation and Technological Integration</w:t>
      </w:r>
    </w:p>
    <w:p>
      <w:pPr>
        <w:pStyle w:val="BodyText"/>
      </w:pPr>
      <w:r>
        <w:t xml:space="preserve">The post-pandemic era has accelerated the adoption of digital tools in Vietnamese classrooms. Teacher Secondary educators are expected to master Learning Management Systems (LMS), interactive whiteboards, and AI-assisted grading platforms. However, disparities in access to high-speed internet and updated hardware among students create a "digital divide." Teachers often find themselves spending significant time bridging this gap rather than focusing on pedagogical innovation.</w:t>
      </w:r>
    </w:p>
    <w:p>
      <w:pPr>
        <w:pStyle w:val="BodyText"/>
      </w:pPr>
      <w:r>
        <w:rPr>
          <w:bCs/>
          <w:b/>
        </w:rPr>
        <w:t xml:space="preserve">B. Student Mental Health and Well-being</w:t>
      </w:r>
    </w:p>
    <w:p>
      <w:pPr>
        <w:pStyle w:val="BodyText"/>
      </w:pPr>
      <w:r>
        <w:t xml:space="preserve">In Vietnam Ho Chi Minh City, academic pressure is intense. Students face the dual burden of preparing for high-stakes national exams and competing for spots in elite universities both domestically and abroad. This environment has led to a rise in anxiety and burnout among adolescents. Teacher Secondary educators are increasingly expected to provide emotional support, yet many lack formal training in psychology or counseling techniques.</w:t>
      </w:r>
    </w:p>
    <w:p>
      <w:pPr>
        <w:pStyle w:val="BodyText"/>
      </w:pPr>
      <w:r>
        <w:rPr>
          <w:bCs/>
          <w:b/>
        </w:rPr>
        <w:t xml:space="preserve">C. Large Class Sizes</w:t>
      </w:r>
    </w:p>
    <w:p>
      <w:pPr>
        <w:pStyle w:val="BodyText"/>
      </w:pPr>
      <w:r>
        <w:t xml:space="preserve">Public secondary schools in Vietnam Ho Chi Minh City frequently operate with class sizes exceeding 45 students. This overcrowding makes personalized instruction nearly impossible and places a heavy cognitive load on Teacher Secondary staff. Managing classroom behavior and ensuring equitable participation becomes a logistical challenge that detracts from deeper learning experiences.</w:t>
      </w:r>
    </w:p>
    <w:bookmarkEnd w:id="23"/>
    <w:bookmarkStart w:id="24" w:name="strategic-responses-and-innovations"/>
    <w:p>
      <w:pPr>
        <w:pStyle w:val="Heading2"/>
      </w:pPr>
      <w:r>
        <w:t xml:space="preserve">4. Strategic Responses and Innovations</w:t>
      </w:r>
    </w:p>
    <w:p>
      <w:pPr>
        <w:pStyle w:val="FirstParagraph"/>
      </w:pPr>
      <w:r>
        <w:rPr>
          <w:bCs/>
          <w:b/>
        </w:rPr>
        <w:t xml:space="preserve">A. Professional Development Networks</w:t>
      </w:r>
    </w:p>
    <w:p>
      <w:pPr>
        <w:pStyle w:val="BodyText"/>
      </w:pPr>
      <w:r>
        <w:t xml:space="preserve">In response to these challenges, informal professional learning communities (PLCs) have emerged within Vietnam Ho Chi Minh City. Teacher Secondary educators are collaborating across school districts to share best practices in differentiated instruction and digital tool usage. These networks allow for peer-to-peer mentorship, where experienced teachers guide newer entrants through the complexities of the new curriculum.</w:t>
      </w:r>
    </w:p>
    <w:p>
      <w:pPr>
        <w:pStyle w:val="BodyText"/>
      </w:pPr>
      <w:r>
        <w:rPr>
          <w:bCs/>
          <w:b/>
        </w:rPr>
        <w:t xml:space="preserve">B. Integration of Soft Skills</w:t>
      </w:r>
    </w:p>
    <w:p>
      <w:pPr>
        <w:pStyle w:val="BodyText"/>
      </w:pPr>
      <w:r>
        <w:t xml:space="preserve">Recognizing the limitations of traditional methods, many Teacher Secondary practitioners in Vietnam Ho Chi Minh City are incorporating project-based learning (PBL) into their curricula. By focusing on real-world problems such as environmental sustainability in the Mekong Delta region or urban traffic solutions, teachers foster critical thinking and collaboration. This approach not only engages students but also helps alleviate some of the pressure associated with standardized testing by valuing process over product.</w:t>
      </w:r>
    </w:p>
    <w:p>
      <w:pPr>
        <w:pStyle w:val="BodyText"/>
      </w:pPr>
      <w:r>
        <w:rPr>
          <w:bCs/>
          <w:b/>
        </w:rPr>
        <w:t xml:space="preserve">C. Parental and Community Engagement</w:t>
      </w:r>
    </w:p>
    <w:p>
      <w:pPr>
        <w:pStyle w:val="BodyText"/>
      </w:pPr>
      <w:r>
        <w:t xml:space="preserve">To address mental health concerns, schools are increasingly involving parents in the educational process through workshops on stress management and healthy study habits. Teacher Secondary educators act as liaisons between home and school, creating a support network that extends beyond the classroom walls.</w:t>
      </w:r>
    </w:p>
    <w:bookmarkEnd w:id="24"/>
    <w:bookmarkStart w:id="25" w:name="Xd556c555b3481baab584cde4b45f4ea748d82ce"/>
    <w:p>
      <w:pPr>
        <w:pStyle w:val="Heading2"/>
      </w:pPr>
      <w:r>
        <w:t xml:space="preserve">5. Case Example: A Public School in District 7</w:t>
      </w:r>
    </w:p>
    <w:p>
      <w:pPr>
        <w:pStyle w:val="FirstParagraph"/>
      </w:pPr>
      <w:r>
        <w:t xml:space="preserve">To illustrate these dynamics, we examine a typical public secondary school in District 7 of Vietnam Ho Chi Minh City. This school serves a mixed-income population. The Teacher Secondary faculty implemented a "Peer Tutoring and Tech-Integration Pilot Program."</w:t>
      </w:r>
    </w:p>
    <w:p>
      <w:pPr>
        <w:pStyle w:val="BodyText"/>
      </w:pPr>
      <w:r>
        <w:rPr>
          <w:bCs/>
          <w:b/>
        </w:rPr>
        <w:t xml:space="preserve">The Initiative:</w:t>
      </w:r>
    </w:p>
    <w:p>
      <w:pPr>
        <w:numPr>
          <w:ilvl w:val="0"/>
          <w:numId w:val="1001"/>
        </w:numPr>
        <w:pStyle w:val="Compact"/>
      </w:pPr>
      <w:r>
        <w:rPr>
          <w:bCs/>
          <w:b/>
        </w:rPr>
        <w:t xml:space="preserve">Mentorship:</w:t>
      </w:r>
      <w:r>
        <w:t xml:space="preserve"> </w:t>
      </w:r>
      <w:r>
        <w:t xml:space="preserve">Older students were trained to assist younger peers with homework, reducing the teacher's administrative burden.</w:t>
      </w:r>
    </w:p>
    <w:p>
      <w:pPr>
        <w:numPr>
          <w:ilvl w:val="0"/>
          <w:numId w:val="1001"/>
        </w:numPr>
        <w:pStyle w:val="Compact"/>
      </w:pPr>
      <w:r>
        <w:t xml:space="preserve">Tech Tools:A tablet lending library was established to ensure all students had access to digital resources during class.</w:t>
      </w:r>
    </w:p>
    <w:p>
      <w:pPr>
        <w:numPr>
          <w:ilvl w:val="0"/>
          <w:numId w:val="1001"/>
        </w:numPr>
        <w:pStyle w:val="Compact"/>
      </w:pPr>
      <w:r>
        <w:rPr>
          <w:bCs/>
          <w:b/>
        </w:rPr>
        <w:t xml:space="preserve">Mental Health Breaks:</w:t>
      </w:r>
      <w:r>
        <w:t xml:space="preserve">Scheduled mindfulness sessions were introduced before major exams, led by trained Teacher Secondary staff.</w:t>
      </w:r>
    </w:p>
    <w:p>
      <w:pPr>
        <w:pStyle w:val="FirstParagraph"/>
      </w:pPr>
      <w:r>
        <w:rPr>
          <w:bCs/>
          <w:b/>
        </w:rPr>
        <w:t xml:space="preserve">Outcomes:</w:t>
      </w:r>
    </w:p>
    <w:p>
      <w:pPr>
        <w:pStyle w:val="BodyText"/>
      </w:pPr>
      <w:r>
        <w:t xml:space="preserve">After one academic year, student engagement scores increased by 15%, and reported stress levels among students decreased. Teachers reported feeling more supported due to the collaborative nature of the pilot program, which fostered a stronger sense of community among Teacher Secondary staff.</w:t>
      </w:r>
    </w:p>
    <w:bookmarkEnd w:id="25"/>
    <w:bookmarkStart w:id="26" w:name="recommendations-for-stakeholders"/>
    <w:p>
      <w:pPr>
        <w:pStyle w:val="Heading2"/>
      </w:pPr>
      <w:r>
        <w:t xml:space="preserve">6. Recommendations for Stakeholders</w:t>
      </w:r>
    </w:p>
    <w:p>
      <w:pPr>
        <w:pStyle w:val="FirstParagraph"/>
      </w:pPr>
      <w:r>
        <w:rPr>
          <w:bCs/>
          <w:b/>
        </w:rPr>
        <w:t xml:space="preserve">For Government Policymakers:</w:t>
      </w:r>
    </w:p>
    <w:p>
      <w:pPr>
        <w:numPr>
          <w:ilvl w:val="0"/>
          <w:numId w:val="1002"/>
        </w:numPr>
        <w:pStyle w:val="Compact"/>
      </w:pPr>
      <w:r>
        <w:t xml:space="preserve">Increase funding for teacher training programs specifically focused on digital literacy and mental health support in Vietnam Ho Chi Minh City.</w:t>
      </w:r>
    </w:p>
    <w:p>
      <w:pPr>
        <w:numPr>
          <w:ilvl w:val="0"/>
          <w:numId w:val="1002"/>
        </w:numPr>
        <w:pStyle w:val="Compact"/>
      </w:pPr>
      <w:r>
        <w:t xml:space="preserve">Promote policies that reduce class sizes or provide teaching assistants to alleviate the burden on Teacher Secondary educators.</w:t>
      </w:r>
    </w:p>
    <w:p>
      <w:pPr>
        <w:pStyle w:val="FirstParagraph"/>
      </w:pPr>
      <w:r>
        <w:rPr>
          <w:bCs/>
          <w:b/>
        </w:rPr>
        <w:t xml:space="preserve">School Administrators:</w:t>
      </w:r>
    </w:p>
    <w:p>
      <w:pPr>
        <w:numPr>
          <w:ilvl w:val="0"/>
          <w:numId w:val="1003"/>
        </w:numPr>
        <w:pStyle w:val="Compact"/>
      </w:pPr>
      <w:r>
        <w:t xml:space="preserve">Create protected time for Teacher Secondary staff to engage in collaborative planning and peer observation.</w:t>
      </w:r>
    </w:p>
    <w:p>
      <w:pPr>
        <w:numPr>
          <w:ilvl w:val="0"/>
          <w:numId w:val="1003"/>
        </w:numPr>
        <w:pStyle w:val="Compact"/>
      </w:pPr>
      <w:r>
        <w:t xml:space="preserve">Invest in infrastructure that supports equitable access to technology for all students, regardless of socioeconomic background.</w:t>
      </w:r>
    </w:p>
    <w:p>
      <w:pPr>
        <w:pStyle w:val="FirstParagraph"/>
      </w:pPr>
      <w:r>
        <w:rPr>
          <w:bCs/>
          <w:b/>
        </w:rPr>
        <w:t xml:space="preserve">Tertiary Institutions:</w:t>
      </w:r>
    </w:p>
    <w:p>
      <w:pPr>
        <w:numPr>
          <w:ilvl w:val="0"/>
          <w:numId w:val="1004"/>
        </w:numPr>
        <w:pStyle w:val="Compact"/>
      </w:pPr>
      <w:r>
        <w:t xml:space="preserve">Curricula for future educators should include robust modules on classroom management in large groups and trauma-informed teaching practices.</w:t>
      </w:r>
    </w:p>
    <w:bookmarkEnd w:id="26"/>
    <w:bookmarkStart w:id="27" w:name="conclusion"/>
    <w:p>
      <w:pPr>
        <w:pStyle w:val="Heading2"/>
      </w:pPr>
      <w:r>
        <w:t xml:space="preserve">7. Conclusion</w:t>
      </w:r>
    </w:p>
    <w:p>
      <w:pPr>
        <w:pStyle w:val="FirstParagraph"/>
      </w:pPr>
      <w:r>
        <w:t xml:space="preserve">The role of Teacher Secondary in Vietnam Ho Chi Minh City is evolving from that of a traditional instructor to a multifaceted educational leader. While challenges such as digital inequality, large class sizes, and student mental health crises remain significant, the resilience and adaptability of these educators offer hope for the future.</w:t>
      </w:r>
    </w:p>
    <w:p>
      <w:pPr>
        <w:pStyle w:val="BodyText"/>
      </w:pPr>
      <w:r>
        <w:t xml:space="preserve">By fostering collaborative professional communities, integrating technology responsibly, and prioritizing holistic student well-being Vietnam Ho Chi Minh City’s secondary education sector can continue to thrive. The success of Teacher Secondary depends not only on their individual efforts but also on systemic support that empowers them to navigate the complexities of modern education effectively.</w:t>
      </w:r>
    </w:p>
    <w:p>
      <w:pPr>
        <w:pStyle w:val="BodyText"/>
      </w:pPr>
      <w:r>
        <w:t xml:space="preserve">This case study highlights that while the context is unique, the principles of adaptive leadership, community engagement, and continuous professional growth are universal. As Vietnam Ho Chi Minh City continues to develop into a global hub, its Teacher Secondary educators will remain central to shaping the next generation of Vietnamese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2026-07-29T13:26:56Z</dcterms:created>
  <dcterms:modified xsi:type="dcterms:W3CDTF">2026-07-29T13:26:56Z</dcterms:modified>
</cp:coreProperties>
</file>

<file path=docProps/custom.xml><?xml version="1.0" encoding="utf-8"?>
<Properties xmlns="http://schemas.openxmlformats.org/officeDocument/2006/custom-properties" xmlns:vt="http://schemas.openxmlformats.org/officeDocument/2006/docPropsVTypes"/>
</file>