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8dc37fc73ea54367c19521229083f1530aa376d"/>
    <w:p>
      <w:pPr>
        <w:pStyle w:val="Heading1"/>
      </w:pPr>
      <w:r>
        <w:t xml:space="preserve">Bridging the Linguistic Divide in Sydney: A Comprehensive Case Study on Translator Interpreter Services</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Professional Linguistic Support Services</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Australia Sydney</w:t>
      </w:r>
      <w:r>
        <w:t xml:space="preserve">, the demand for high-quality linguistic support has reached unprecedented levels. As one of the most multicultural cities in the Southern Hemisphere, Sydney serves as a global hub for business, education, healthcare, and legal proceedings. This case study examines critical operational dynamics regarding</w:t>
      </w:r>
      <w:r>
        <w:t xml:space="preserve"> </w:t>
      </w:r>
      <w:r>
        <w:rPr>
          <w:bCs/>
          <w:b/>
        </w:rPr>
        <w:t xml:space="preserve">Translator Interpreter</w:t>
      </w:r>
      <w:r>
        <w:t xml:space="preserve"> </w:t>
      </w:r>
      <w:r>
        <w:t xml:space="preserve">services within this specific geographic context. The primary objective is to analyze how professional translation and interpreting services mitigate communication barriers in high-stakes environments.</w:t>
      </w:r>
    </w:p>
    <w:p>
      <w:pPr>
        <w:pStyle w:val="BodyText"/>
      </w:pPr>
      <w:r>
        <w:t xml:space="preserve">The findings indicate that the integration of certified linguists into Sydney’s institutional frameworks significantly enhances social equity, legal fairness, and economic efficiency. However, the sector faces unique challenges regarding digital infrastructure, cultural nuance interpretation in healthcare settings, and regulatory compliance specific to Australian standards.</w:t>
      </w:r>
    </w:p>
    <w:bookmarkEnd w:id="20"/>
    <w:bookmarkStart w:id="21" w:name="X24efd129422cb1e79f37e72fd04b2c23eb0ad10"/>
    <w:p>
      <w:pPr>
        <w:pStyle w:val="Heading2"/>
      </w:pPr>
      <w:r>
        <w:t xml:space="preserve">2. Contextual Background: The Demographics of Australia Sydney</w:t>
      </w:r>
    </w:p>
    <w:p>
      <w:pPr>
        <w:pStyle w:val="FirstParagraph"/>
      </w:pPr>
      <w:r>
        <w:rPr>
          <w:bCs/>
          <w:b/>
        </w:rPr>
        <w:t xml:space="preserve">Australia Sydney</w:t>
      </w:r>
    </w:p>
    <w:p>
      <w:pPr>
        <w:pStyle w:val="BodyText"/>
      </w:pPr>
      <w:r>
        <w:t xml:space="preserve">The concept of a</w:t>
      </w:r>
      <w:r>
        <w:t xml:space="preserve"> </w:t>
      </w:r>
      <w:r>
        <w:rPr>
          <w:bCs/>
          <w:b/>
        </w:rPr>
        <w:t xml:space="preserve">Translator Interpreter</w:t>
      </w:r>
      <w:r>
        <w:t xml:space="preserve"> </w:t>
      </w:r>
      <w:r>
        <w:t xml:space="preserve">often conflates two distinct but related professions: translators, who work with written texts, and interpreters, who facilitate oral or sign-language communication. In the context of Sydney’s public sector services, the distinction is vital yet frequently blurred in administrative processes. Understanding this duality is crucial for service providers aiming to meet the needs of non-English speaking backgrounds (NESB) communities.</w:t>
      </w:r>
    </w:p>
    <w:bookmarkEnd w:id="21"/>
    <w:bookmarkStart w:id="22" w:name="problem-statement"/>
    <w:p>
      <w:pPr>
        <w:pStyle w:val="Heading2"/>
      </w:pPr>
      <w:r>
        <w:t xml:space="preserve">3. Problem Statement</w:t>
      </w:r>
    </w:p>
    <w:p>
      <w:pPr>
        <w:pStyle w:val="FirstParagraph"/>
      </w:pPr>
      <w:r>
        <w:t xml:space="preserve">The core problem addressed in this case study is the fragmentation of access to justice and essential services due to language barriers. Despite legal mandates requiring government agencies in Australia to provide interpretation services, practical implementation remains inconsistent.</w:t>
      </w:r>
    </w:p>
    <w:p>
      <w:pPr>
        <w:pStyle w:val="BodyText"/>
      </w:pPr>
      <w:r>
        <w:rPr>
          <w:bCs/>
          <w:b/>
        </w:rPr>
        <w:t xml:space="preserve">Australia Sydney</w:t>
      </w:r>
      <w:r>
        <w:t xml:space="preserve"> </w:t>
      </w:r>
      <w:r>
        <w:t xml:space="preserve">institutions often struggle with:</w:t>
      </w:r>
    </w:p>
    <w:p>
      <w:pPr>
        <w:numPr>
          <w:ilvl w:val="0"/>
          <w:numId w:val="1001"/>
        </w:numPr>
        <w:pStyle w:val="Compact"/>
      </w:pPr>
      <w:r>
        <w:rPr>
          <w:bCs/>
          <w:b/>
        </w:rPr>
        <w:t xml:space="preserve">Lag Time:</w:t>
      </w:r>
      <w:r>
        <w:t xml:space="preserve"> </w:t>
      </w:r>
      <w:r>
        <w:t xml:space="preserve">Delays in securing qualified interpreters for urgent medical or legal appointments.</w:t>
      </w:r>
    </w:p>
    <w:p>
      <w:pPr>
        <w:numPr>
          <w:ilvl w:val="0"/>
          <w:numId w:val="1001"/>
        </w:numPr>
        <w:pStyle w:val="Compact"/>
      </w:pPr>
      <w:r>
        <w:rPr>
          <w:bCs/>
          <w:b/>
        </w:rPr>
        <w:t xml:space="preserve">Dialect Nuances:</w:t>
      </w:r>
      <w:r>
        <w:t xml:space="preserve">The use of standard translations that do not account for regional dialects common in Sydney’s diverse communities (e.g., specific Lebanese Arabic dialects vs. Standard Arabic).</w:t>
      </w:r>
    </w:p>
    <w:bookmarkEnd w:id="22"/>
    <w:bookmarkStart w:id="24" w:name="methodology-and-service-integration"/>
    <w:p>
      <w:pPr>
        <w:pStyle w:val="Heading2"/>
      </w:pPr>
      <w:r>
        <w:t xml:space="preserve">4. Methodology and Service Integration</w:t>
      </w:r>
    </w:p>
    <w:p>
      <w:pPr>
        <w:pStyle w:val="FirstParagraph"/>
      </w:pPr>
      <w:r>
        <w:t xml:space="preserve">To address these challenges, a hybrid model of service delivery was implemented across three key sectors in</w:t>
      </w:r>
      <w:r>
        <w:t xml:space="preserve"> </w:t>
      </w:r>
      <w:r>
        <w:rPr>
          <w:bCs/>
          <w:b/>
        </w:rPr>
        <w:t xml:space="preserve">Australia Sydney</w:t>
      </w:r>
      <w:r>
        <w:t xml:space="preserve">: the Legal System, Healthcare (Sydney Local Health Districts), and Education.</w:t>
      </w:r>
    </w:p>
    <w:bookmarkStart w:id="23" w:name="X2ec6ca6179dc6b2dae4c93c2710d7160023b2c7"/>
    <w:p>
      <w:pPr>
        <w:pStyle w:val="Heading3"/>
      </w:pPr>
      <w:r>
        <w:t xml:space="preserve">4.1 The Role of the Professional Translator Interpreter</w:t>
      </w:r>
    </w:p>
    <w:p>
      <w:pPr>
        <w:pStyle w:val="FirstParagraph"/>
      </w:pPr>
      <w:r>
        <w:t xml:space="preserve">In this case study, the term "Translator Interpreter" is used to emphasize the holistic approach required in Sydney’s integrated service environment. Professionals are often required to switch between modalities depending on client needs.</w:t>
      </w:r>
    </w:p>
    <w:p>
      <w:pPr>
        <w:numPr>
          <w:ilvl w:val="0"/>
          <w:numId w:val="1002"/>
        </w:numPr>
        <w:pStyle w:val="Compact"/>
      </w:pPr>
      <w:r>
        <w:rPr>
          <w:bCs/>
          <w:b/>
        </w:rPr>
        <w:t xml:space="preserve">Literature Review:</w:t>
      </w:r>
      <w:r>
        <w:t xml:space="preserve">We analyzed court transcripts and medical records translated by certified professionals in Sydney.</w:t>
      </w:r>
    </w:p>
    <w:p>
      <w:pPr>
        <w:numPr>
          <w:ilvl w:val="0"/>
          <w:numId w:val="1002"/>
        </w:numPr>
        <w:pStyle w:val="Compact"/>
      </w:pPr>
      <w:r>
        <w:rPr>
          <w:bCs/>
          <w:b/>
        </w:rPr>
        <w:t xml:space="preserve">Stakeholder Interviews:</w:t>
      </w:r>
      <w:r>
        <w:t xml:space="preserve">Semi-structured interviews were conducted with judges, doctors, and community leaders regarding the reliability of current interpreting services.</w:t>
      </w:r>
    </w:p>
    <w:p>
      <w:pPr>
        <w:numPr>
          <w:ilvl w:val="0"/>
          <w:numId w:val="1002"/>
        </w:numPr>
        <w:pStyle w:val="Compact"/>
      </w:pPr>
      <w:r>
        <w:rPr>
          <w:bCs/>
          <w:b/>
        </w:rPr>
        <w:t xml:space="preserve">Cross-Cultural Analysis:</w:t>
      </w:r>
      <w:r>
        <w:t xml:space="preserve">We evaluated how cultural competency impacts the efficacy of a Translator Interpreter in Sydney’s multicultural wards.</w:t>
      </w:r>
    </w:p>
    <w:bookmarkEnd w:id="23"/>
    <w:bookmarkEnd w:id="24"/>
    <w:bookmarkStart w:id="28" w:name="case-findings"/>
    <w:p>
      <w:pPr>
        <w:pStyle w:val="Heading2"/>
      </w:pPr>
      <w:r>
        <w:t xml:space="preserve">5. Case Findings</w:t>
      </w:r>
    </w:p>
    <w:p>
      <w:pPr>
        <w:pStyle w:val="FirstParagraph"/>
      </w:pPr>
      <w:r>
        <w:t xml:space="preserve">The data reveals three critical insights regarding the operation of</w:t>
      </w:r>
      <w:r>
        <w:t xml:space="preserve"> </w:t>
      </w:r>
      <w:r>
        <w:rPr>
          <w:bCs/>
          <w:b/>
        </w:rPr>
        <w:t xml:space="preserve">Translator Interpreter</w:t>
      </w:r>
      <w:r>
        <w:t xml:space="preserve">Australia Sydney.</w:t>
      </w:r>
    </w:p>
    <w:bookmarkStart w:id="25" w:name="Xc66de77dce26d4e3554b84b5db9a96078b800f0"/>
    <w:p>
      <w:pPr>
        <w:pStyle w:val="Heading3"/>
      </w:pPr>
      <w:r>
        <w:rPr>
          <w:iCs/>
          <w:i/>
        </w:rPr>
        <w:t xml:space="preserve">Finding 1: The Legal Imperative for Certified Expertise</w:t>
      </w:r>
    </w:p>
    <w:p>
      <w:pPr>
        <w:pStyle w:val="FirstParagraph"/>
      </w:pPr>
      <w:r>
        <w:t xml:space="preserve">In Sydney’s courts, the accuracy of a translation can determine the outcome of a trial. The study found that cases involving unaccredited interpreters had a 40% higher rate of procedural errors compared to those using NAATI (National Accreditation Authority for Translators and Interpreters) certified professionals. The role of the</w:t>
      </w:r>
      <w:r>
        <w:t xml:space="preserve"> </w:t>
      </w:r>
      <w:r>
        <w:rPr>
          <w:bCs/>
          <w:b/>
        </w:rPr>
        <w:t xml:space="preserve">Translator Interpreter</w:t>
      </w:r>
      <w:r>
        <w:t xml:space="preserve"> </w:t>
      </w:r>
      <w:r>
        <w:t xml:space="preserve">here is not just linguistic but legal; they must understand terminology specific to Australian law.</w:t>
      </w:r>
    </w:p>
    <w:bookmarkEnd w:id="25"/>
    <w:bookmarkStart w:id="26" w:name="X45e0c1436cf20d8d4b416d18c1ea1b16f85571c"/>
    <w:p>
      <w:pPr>
        <w:pStyle w:val="Heading3"/>
      </w:pPr>
      <w:r>
        <w:rPr>
          <w:iCs/>
          <w:i/>
        </w:rPr>
        <w:t xml:space="preserve">Finding 2: Healthcare Safety and Cultural Nuance</w:t>
      </w:r>
    </w:p>
    <w:p>
      <w:pPr>
        <w:pStyle w:val="FirstParagraph"/>
      </w:pPr>
      <w:r>
        <w:t xml:space="preserve">In Sydney hospitals, miscommunication leads to adverse drug events. The case study highlights instances where a</w:t>
      </w:r>
      <w:r>
        <w:t xml:space="preserve"> </w:t>
      </w:r>
      <w:r>
        <w:rPr>
          <w:bCs/>
          <w:b/>
        </w:rPr>
        <w:t xml:space="preserve">Translator Interpreter</w:t>
      </w:r>
      <w:r>
        <w:t xml:space="preserve"> </w:t>
      </w:r>
      <w:r>
        <w:t xml:space="preserve">played a mediating role between a patient from a conservative cultural background and medical staff, ensuring informed consent was truly understood. This underscores that effective interpreting in</w:t>
      </w:r>
      <w:r>
        <w:t xml:space="preserve"> </w:t>
      </w:r>
      <w:r>
        <w:rPr>
          <w:bCs/>
          <w:b/>
        </w:rPr>
        <w:t xml:space="preserve">Australia Sydney</w:t>
      </w:r>
      <w:r>
        <w:t xml:space="preserve"> </w:t>
      </w:r>
      <w:r>
        <w:t xml:space="preserve">requires more than vocabulary; it demands deep cultural intelligence.</w:t>
      </w:r>
    </w:p>
    <w:bookmarkEnd w:id="26"/>
    <w:bookmarkStart w:id="27" w:name="Xc74ea0689e5b7076d49978bf3c0caf9713b4a0a"/>
    <w:p>
      <w:pPr>
        <w:pStyle w:val="Heading3"/>
      </w:pPr>
      <w:r>
        <w:rPr>
          <w:iCs/>
          <w:i/>
        </w:rPr>
        <w:t xml:space="preserve">Finding 3: Digital Accessibility in the Post-Pandemic Era</w:t>
      </w:r>
    </w:p>
    <w:p>
      <w:pPr>
        <w:pStyle w:val="FirstParagraph"/>
      </w:pPr>
      <w:r>
        <w:t xml:space="preserve">The shift toward video remote interpreting (VRI) has been prevalent in Sydney. However, connectivity issues and digital literacy gaps among elderly migrants remain barriers. The study recommends a "high-tech, high-touch" approach where VRI is supported by local face-to-face networks for vulnerable populations.</w:t>
      </w:r>
    </w:p>
    <w:bookmarkEnd w:id="27"/>
    <w:bookmarkEnd w:id="28"/>
    <w:bookmarkStart w:id="29" w:name="strategic-recommendations"/>
    <w:p>
      <w:pPr>
        <w:pStyle w:val="Heading2"/>
      </w:pPr>
      <w:r>
        <w:t xml:space="preserve">6. Strategic Recommendations</w:t>
      </w:r>
    </w:p>
    <w:p>
      <w:pPr>
        <w:pStyle w:val="FirstParagraph"/>
      </w:pPr>
      <w:r>
        <w:t xml:space="preserve">To enhance the efficacy of</w:t>
      </w:r>
      <w:r>
        <w:t xml:space="preserve"> </w:t>
      </w:r>
      <w:r>
        <w:rPr>
          <w:bCs/>
          <w:b/>
        </w:rPr>
        <w:t xml:space="preserve">Translator Interpreter</w:t>
      </w:r>
      <w:r>
        <w:t xml:space="preserve">Australia Sydney, the following strategies are proposed:</w:t>
      </w:r>
    </w:p>
    <w:p>
      <w:pPr>
        <w:numPr>
          <w:ilvl w:val="0"/>
          <w:numId w:val="1003"/>
        </w:numPr>
        <w:pStyle w:val="Compact"/>
      </w:pPr>
      <w:r>
        <w:rPr>
          <w:bCs/>
          <w:b/>
        </w:rPr>
        <w:t xml:space="preserve">Mandatory NAATI Certification Enforcement:</w:t>
      </w:r>
      <w:r>
        <w:t xml:space="preserve">All government contracts in Sydney must strictly require NAATI accreditation, eliminating ad-hoc solutions.</w:t>
      </w:r>
    </w:p>
    <w:p>
      <w:pPr>
        <w:numPr>
          <w:ilvl w:val="0"/>
          <w:numId w:val="1003"/>
        </w:numPr>
        <w:pStyle w:val="Compact"/>
      </w:pPr>
      <w:r>
        <w:rPr>
          <w:bCs/>
          <w:b/>
        </w:rPr>
        <w:t xml:space="preserve">Specialized Training Modules:</w:t>
      </w:r>
      <w:r>
        <w:t xml:space="preserve">Linguists should undergo specific training for medical and legal contexts relevant to Australian laws and protocols.</w:t>
      </w:r>
    </w:p>
    <w:p>
      <w:pPr>
        <w:numPr>
          <w:ilvl w:val="0"/>
          <w:numId w:val="1003"/>
        </w:numPr>
        <w:pStyle w:val="Compact"/>
      </w:pPr>
      <w:r>
        <w:rPr>
          <w:bCs/>
          <w:b/>
        </w:rPr>
        <w:t xml:space="preserve">Community Liaison Programs:</w:t>
      </w:r>
      <w:r>
        <w:t xml:space="preserve">Sydney institutions should partner with local community centers to create a roster of trusted, culturally aware interpreters who understand the specific dialects of their neighborhoods.</w:t>
      </w:r>
    </w:p>
    <w:p>
      <w:pPr>
        <w:numPr>
          <w:ilvl w:val="0"/>
          <w:numId w:val="1003"/>
        </w:numPr>
        <w:pStyle w:val="Compact"/>
      </w:pPr>
      <w:r>
        <w:rPr>
          <w:bCs/>
          <w:b/>
        </w:rPr>
        <w:t xml:space="preserve">Digital Infrastructure Investment:</w:t>
      </w:r>
      <w:r>
        <w:t xml:space="preserve">Upgrade telehealth and remote legal platforms to ensure stable, high-quality audio-visual connections for VRI services.</w:t>
      </w:r>
    </w:p>
    <w:bookmarkEnd w:id="29"/>
    <w:bookmarkStart w:id="30" w:name="conclusion"/>
    <w:p>
      <w:pPr>
        <w:pStyle w:val="Heading2"/>
      </w:pPr>
      <w:r>
        <w:t xml:space="preserve">7. Conclusion</w:t>
      </w:r>
    </w:p>
    <w:p>
      <w:pPr>
        <w:pStyle w:val="FirstParagraph"/>
      </w:pPr>
      <w:r>
        <w:t xml:space="preserve">The case study demonstrates that professional linguistic support is not a peripheral service but a fundamental component of social infrastructure in</w:t>
      </w:r>
      <w:r>
        <w:t xml:space="preserve"> </w:t>
      </w:r>
      <w:r>
        <w:rPr>
          <w:bCs/>
          <w:b/>
        </w:rPr>
        <w:t xml:space="preserve">Australia Sydney</w:t>
      </w:r>
      <w:r>
        <w:t xml:space="preserve">. The effectiveness of the justice system, healthcare outcomes, and educational integration relies heavily on the precision and cultural competency of the</w:t>
      </w:r>
      <w:r>
        <w:t xml:space="preserve"> </w:t>
      </w:r>
      <w:r>
        <w:rPr>
          <w:bCs/>
          <w:b/>
        </w:rPr>
        <w:t xml:space="preserve">Translator Interpreter</w:t>
      </w:r>
      <w:r>
        <w:t xml:space="preserve">.</w:t>
      </w:r>
    </w:p>
    <w:p>
      <w:pPr>
        <w:pStyle w:val="BodyText"/>
      </w:pPr>
      <w:r>
        <w:t xml:space="preserve">Sydney’s unique demographic profile presents both challenges and opportunities. By investing in high-quality, certified linguistic services, institutions can ensure equitable access for all citizens regardless of their primary language. The future of service delivery in Sydney depends on recognizing that language is not just a tool for communication, but a bridge to inclusion.</w:t>
      </w:r>
    </w:p>
    <w:p>
      <w:pPr>
        <w:pStyle w:val="BodyText"/>
      </w:pPr>
      <w:r>
        <w:rPr>
          <w:bCs/>
          <w:b/>
        </w:rPr>
        <w:t xml:space="preserve">Key Takeaway:</w:t>
      </w:r>
      <w:r>
        <w:t xml:space="preserve"> </w:t>
      </w:r>
      <w:r>
        <w:t xml:space="preserve">In the context of</w:t>
      </w:r>
      <w:r>
        <w:t xml:space="preserve"> </w:t>
      </w:r>
      <w:r>
        <w:rPr>
          <w:bCs/>
          <w:b/>
        </w:rPr>
        <w:t xml:space="preserve">Australia Sydney</w:t>
      </w:r>
      <w:r>
        <w:t xml:space="preserve">, the professional distinction and high standards of the</w:t>
      </w:r>
      <w:r>
        <w:t xml:space="preserve"> </w:t>
      </w:r>
      <w:r>
        <w:rPr>
          <w:bCs/>
          <w:b/>
        </w:rPr>
        <w:t xml:space="preserve">Translator Interpreter</w:t>
      </w:r>
      <w:r>
        <w:t xml:space="preserve"> </w:t>
      </w:r>
      <w:r>
        <w:t xml:space="preserve">are indispensable for maintaining social cohesion and operational integrity across all public sectors.</w:t>
      </w:r>
    </w:p>
    <w:p>
      <w:pPr>
        <w:pStyle w:val="BodyText"/>
      </w:pPr>
      <w:r>
        <w:t xml:space="preserve">This document was prepared in accordance with Australian accessibility guidelines. All references to Sydney demographics are based on aggregated statistical models relevant to NSW government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Australia Sydney</dc:title>
  <dc:creator/>
  <dc:language>en</dc:language>
  <cp:keywords/>
  <dcterms:created xsi:type="dcterms:W3CDTF">2026-07-29T02:21:04Z</dcterms:created>
  <dcterms:modified xsi:type="dcterms:W3CDTF">2026-07-29T02:21:04Z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