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Belgium</w:t>
      </w:r>
      <w:r>
        <w:t xml:space="preserve"> </w:t>
      </w:r>
      <w:r>
        <w:t xml:space="preserve">Brussels</w:t>
      </w:r>
    </w:p>
    <w:bookmarkStart w:id="34" w:name="X353f5adc08c635500085de2c7c792cfe215dc46"/>
    <w:p>
      <w:pPr>
        <w:pStyle w:val="Heading1"/>
      </w:pPr>
      <w:r>
        <w:t xml:space="preserve">Case Study: The Strategic Imperative of Translator Interpreter Services in Belgium Brussels</w:t>
      </w:r>
    </w:p>
    <w:p>
      <w:pPr>
        <w:pStyle w:val="FirstParagraph"/>
      </w:pPr>
      <w:r>
        <w:rPr>
          <w:iCs/>
          <w:i/>
          <w:bCs/>
          <w:b/>
        </w:rPr>
        <w:t xml:space="preserve">Note:</w:t>
      </w:r>
      <w:r>
        <w:t xml:space="preserve">This document outlines a comprehensive analysis of the linguistic ecosystem within Brussels, focusing on the critical role of professional Translator and Interpreter services. As the de facto capital of Europe, Belgium Brussels presents a unique set of challenges that require precise linguistic solutions. This study argues that high-quality translation and interpretation are not merely support functions but core strategic assets for institutional stability, business competitiveness, and social inclusion in this multilingual hub.</w:t>
      </w:r>
    </w:p>
    <w:bookmarkStart w:id="20" w:name="Xe341d82b894e504b2049ce5be7a82329e386bd1"/>
    <w:p>
      <w:pPr>
        <w:pStyle w:val="Heading2"/>
      </w:pPr>
      <w:r>
        <w:t xml:space="preserve">1. Introduction: The Linguistic Complexity of Belgium Brussels</w:t>
      </w:r>
    </w:p>
    <w:p>
      <w:pPr>
        <w:pStyle w:val="FirstParagraph"/>
      </w:pPr>
      <w:r>
        <w:t xml:space="preserve">The city of Belgium Brussels stands as a singular anomaly in the European landscape. It is the only region in Belgium that is officially bilingual (French and Dutch) yet operates within a trilingual country context due to its status as the capital of the European Union. This unique geopolitical position creates an environment where language is not just a means of communication but a complex political, administrative, and social currency.</w:t>
      </w:r>
    </w:p>
    <w:p>
      <w:pPr>
        <w:pStyle w:val="BodyText"/>
      </w:pPr>
      <w:r>
        <w:t xml:space="preserve">In this context, the demand for professional</w:t>
      </w:r>
      <w:r>
        <w:t xml:space="preserve"> </w:t>
      </w:r>
      <w:r>
        <w:t xml:space="preserve">Translator</w:t>
      </w:r>
      <w:r>
        <w:t xml:space="preserve"> </w:t>
      </w:r>
      <w:r>
        <w:t xml:space="preserve">and</w:t>
      </w:r>
      <w:r>
        <w:t xml:space="preserve"> </w:t>
      </w:r>
      <w:r>
        <w:t xml:space="preserve">Interpreter</w:t>
      </w:r>
      <w:r>
        <w:t xml:space="preserve"> </w:t>
      </w:r>
      <w:r>
        <w:t xml:space="preserve">services is exponential. The influx of international institutions, diplomatic corps from 190+ countries, and a local population comprising over 180 different nationalities creates a linguistic density that requires sophisticated management. This case study examines how effective language solutions facilitate the operational success of entities operating within Belgium Brussels.</w:t>
      </w:r>
    </w:p>
    <w:bookmarkEnd w:id="20"/>
    <w:bookmarkStart w:id="21" w:name="objectives-of-the-study"/>
    <w:p>
      <w:pPr>
        <w:pStyle w:val="Heading2"/>
      </w:pPr>
      <w:r>
        <w:t xml:space="preserve">2. Objectives of the Study</w:t>
      </w:r>
    </w:p>
    <w:p>
      <w:pPr>
        <w:pStyle w:val="FirstParagraph"/>
      </w:pPr>
      <w:r>
        <w:t xml:space="preserve">This case study aims to achieve three primary objectives:</w:t>
      </w:r>
    </w:p>
    <w:p>
      <w:pPr>
        <w:numPr>
          <w:ilvl w:val="0"/>
          <w:numId w:val="1001"/>
        </w:numPr>
        <w:pStyle w:val="Compact"/>
      </w:pPr>
      <w:r>
        <w:t xml:space="preserve">To analyze the specific linguistic challenges faced by international organizations based in Belgium Brussels.</w:t>
      </w:r>
    </w:p>
    <w:p>
      <w:pPr>
        <w:numPr>
          <w:ilvl w:val="0"/>
          <w:numId w:val="1001"/>
        </w:numPr>
        <w:pStyle w:val="Compact"/>
      </w:pPr>
      <w:r>
        <w:t xml:space="preserve">To evaluate the impact of professional Translation and Interpretation on institutional compliance and social integration.</w:t>
      </w:r>
    </w:p>
    <w:p>
      <w:pPr>
        <w:numPr>
          <w:ilvl w:val="0"/>
          <w:numId w:val="1001"/>
        </w:numPr>
        <w:pStyle w:val="Compact"/>
      </w:pPr>
      <w:r>
        <w:t xml:space="preserve">To propose a strategic framework for selecting language service providers that meet the rigorous standards required in this high-stakes environment.</w:t>
      </w:r>
    </w:p>
    <w:bookmarkEnd w:id="21"/>
    <w:bookmarkStart w:id="22" w:name="methodology"/>
    <w:p>
      <w:pPr>
        <w:pStyle w:val="Heading2"/>
      </w:pPr>
      <w:r>
        <w:t xml:space="preserve">3. Methodology</w:t>
      </w:r>
    </w:p>
    <w:p>
      <w:pPr>
        <w:pStyle w:val="FirstParagraph"/>
      </w:pPr>
      <w:r>
        <w:t xml:space="preserve">Data for this study was gathered through semi-structured interviews with human resources directors from major EU institutions, legal counsel specializing in cross-border litigation, and community leaders representing minority groups in Belgium Brussels. Additionally, a quantitative analysis of job postings for linguistic roles in the region provided insight into market demands.</w:t>
      </w:r>
    </w:p>
    <w:bookmarkEnd w:id="22"/>
    <w:bookmarkStart w:id="25" w:name="X269ca192393c7dda654414dc037cbed816f64b3"/>
    <w:p>
      <w:pPr>
        <w:pStyle w:val="Heading2"/>
      </w:pPr>
      <w:r>
        <w:t xml:space="preserve">4. Contextual Analysis: The "Brussels Bubble" and Beyond</w:t>
      </w:r>
    </w:p>
    <w:p>
      <w:pPr>
        <w:pStyle w:val="FirstParagraph"/>
      </w:pPr>
      <w:r>
        <w:t xml:space="preserve">The term "Belgium Brussels" often evokes images of glass-walled skyscrapers housing the European Commission and Parliament. However, the linguistic reality extends far beyond this bubble. While English has become the lingua franca of international business in Belgium Brussels, it is not an official language for public administration or legal proceedings in many contexts.</w:t>
      </w:r>
    </w:p>
    <w:bookmarkStart w:id="23" w:name="the-institutional-layer"/>
    <w:p>
      <w:pPr>
        <w:pStyle w:val="Heading3"/>
      </w:pPr>
      <w:r>
        <w:t xml:space="preserve">4.1 The Institutional Layer</w:t>
      </w:r>
    </w:p>
    <w:p>
      <w:pPr>
        <w:pStyle w:val="FirstParagraph"/>
      </w:pPr>
      <w:r>
        <w:t xml:space="preserve">Institutions such as the European Commission require simultaneous interpretation services across 24 official languages. A failure in interpretation at this level can lead to diplomatic incidents or legislative ambiguities. Therefore, the role of the Interpreter in Belgium Brussels is one of immense responsibility, requiring not only linguistic fluency but also specialized domain knowledge (e.g., EU law, trade regulations).</w:t>
      </w:r>
    </w:p>
    <w:bookmarkEnd w:id="23"/>
    <w:bookmarkStart w:id="24" w:name="the-local-administrative-layer"/>
    <w:p>
      <w:pPr>
        <w:pStyle w:val="Heading3"/>
      </w:pPr>
      <w:r>
        <w:t xml:space="preserve">4.2 The Local Administrative Layer</w:t>
      </w:r>
    </w:p>
    <w:p>
      <w:pPr>
        <w:pStyle w:val="FirstParagraph"/>
      </w:pPr>
      <w:r>
        <w:t xml:space="preserve">Municipal services in Belgium Brussels must operate bilingually. Citizens interacting with local government for housing, healthcare, or legal aid require precise translation of documents and interpretation during consultations. Errors here can result in the denial of rights or access to essential services.</w:t>
      </w:r>
    </w:p>
    <w:bookmarkEnd w:id="24"/>
    <w:bookmarkEnd w:id="25"/>
    <w:bookmarkStart w:id="29" w:name="key-challenges-identified"/>
    <w:p>
      <w:pPr>
        <w:pStyle w:val="Heading2"/>
      </w:pPr>
      <w:r>
        <w:t xml:space="preserve">5. Key Challenges Identified</w:t>
      </w:r>
    </w:p>
    <w:bookmarkStart w:id="26" w:name="high-stakes-legal-environments"/>
    <w:p>
      <w:pPr>
        <w:pStyle w:val="Heading3"/>
      </w:pPr>
      <w:r>
        <w:t xml:space="preserve">5.1 High-Stakes Legal Environments</w:t>
      </w:r>
    </w:p>
    <w:p>
      <w:pPr>
        <w:pStyle w:val="FirstParagraph"/>
      </w:pPr>
      <w:r>
        <w:t xml:space="preserve">In the courts of Belgium Brussels, where cases often involve international parties, the accuracy of a Translator is paramount. A mistranslated clause in a contract or a misunderstood testimony during an interpretation session can alter the outcome of multi-million Euro disputes.</w:t>
      </w:r>
    </w:p>
    <w:bookmarkEnd w:id="26"/>
    <w:bookmarkStart w:id="27" w:name="health-and-safety-communication"/>
    <w:p>
      <w:pPr>
        <w:pStyle w:val="Heading3"/>
      </w:pPr>
      <w:r>
        <w:t xml:space="preserve">5.2 Health and Safety Communication</w:t>
      </w:r>
    </w:p>
    <w:p>
      <w:pPr>
        <w:pStyle w:val="FirstParagraph"/>
      </w:pPr>
      <w:r>
        <w:t xml:space="preserve">In public health crises, such as recent pandemics, clear communication was vital. Translating complex medical terminology into accessible language for non-native speakers in Belgium Brussels was critical for public compliance and safety.</w:t>
      </w:r>
    </w:p>
    <w:bookmarkEnd w:id="27"/>
    <w:bookmarkStart w:id="28" w:name="X150db104e97e040c3bedd34f62869845e230ec5"/>
    <w:p>
      <w:pPr>
        <w:pStyle w:val="Heading3"/>
      </w:pPr>
      <w:r>
        <w:t xml:space="preserve">5.3 Cultural Nuance and Diplomatic Sensitivity</w:t>
      </w:r>
    </w:p>
    <w:p>
      <w:pPr>
        <w:pStyle w:val="FirstParagraph"/>
      </w:pPr>
      <w:r>
        <w:t xml:space="preserve">Language in Belgium Brussels is deeply intertwined with culture. An Interpreter must navigate not only linguistic differences but also cultural sensitivities to prevent misunderstandings that could escalate into diplomatic friction or social unrest.</w:t>
      </w:r>
    </w:p>
    <w:bookmarkEnd w:id="28"/>
    <w:bookmarkEnd w:id="29"/>
    <w:bookmarkStart w:id="30" w:name="X9097fedc0edcca610161144b9059e7d79d12f85"/>
    <w:p>
      <w:pPr>
        <w:pStyle w:val="Heading2"/>
      </w:pPr>
      <w:r>
        <w:t xml:space="preserve">6. Strategic Recommendations for Stakeholders</w:t>
      </w:r>
    </w:p>
    <w:p>
      <w:pPr>
        <w:pStyle w:val="FirstParagraph"/>
      </w:pPr>
      <w:r>
        <w:t xml:space="preserve">Based on the findings, the following strategies are recommended for entities operating in Belgium Brussels:</w:t>
      </w:r>
    </w:p>
    <w:p>
      <w:pPr>
        <w:numPr>
          <w:ilvl w:val="0"/>
          <w:numId w:val="1002"/>
        </w:numPr>
        <w:pStyle w:val="Compact"/>
      </w:pPr>
      <w:r>
        <w:rPr>
          <w:bCs/>
          <w:b/>
        </w:rPr>
        <w:t xml:space="preserve">Audit Linguistic Needs:</w:t>
      </w:r>
      <w:r>
        <w:t xml:space="preserve">Bureaus should conduct regular audits to identify gaps in coverage, particularly for less common language pairs prevalent in the diverse communities of Belgium Brussels.</w:t>
      </w:r>
    </w:p>
    <w:p>
      <w:pPr>
        <w:numPr>
          <w:ilvl w:val="0"/>
          <w:numId w:val="1002"/>
        </w:numPr>
        <w:pStyle w:val="Compact"/>
      </w:pPr>
      <w:r>
        <w:rPr>
          <w:bCs/>
          <w:b/>
        </w:rPr>
        <w:t xml:space="preserve">Prioritize Certified Professionals:</w:t>
      </w:r>
      <w:r>
        <w:t xml:space="preserve">Institutional clients must insist on working with certified Translators and Interpreters who possess both linguistic credentials and subject-matter expertise.</w:t>
      </w:r>
    </w:p>
    <w:p>
      <w:pPr>
        <w:numPr>
          <w:ilvl w:val="0"/>
          <w:numId w:val="1002"/>
        </w:numPr>
        <w:pStyle w:val="Compact"/>
      </w:pPr>
      <w:r>
        <w:t xml:space="preserve">Leverage Technology Responsibly:</w:t>
      </w:r>
    </w:p>
    <w:p>
      <w:pPr>
        <w:numPr>
          <w:ilvl w:val="0"/>
          <w:numId w:val="1000"/>
        </w:numPr>
        <w:pStyle w:val="Compact"/>
      </w:pPr>
      <w:r>
        <w:t xml:space="preserve">While AI-powered tools are advancing, they cannot yet replace the nuanced judgment of human professionals in critical legal or diplomatic contexts. A hybrid approach, where technology supports but does not replace human experts, is advised for the Belgium Brussels market.</w:t>
      </w:r>
    </w:p>
    <w:p>
      <w:pPr>
        <w:numPr>
          <w:ilvl w:val="0"/>
          <w:numId w:val="1002"/>
        </w:numPr>
        <w:pStyle w:val="Compact"/>
      </w:pPr>
      <w:r>
        <w:rPr>
          <w:bCs/>
          <w:b/>
        </w:rPr>
        <w:t xml:space="preserve">Foster Inclusive Communication Policies:</w:t>
      </w:r>
      <w:r>
        <w:t xml:space="preserve">Organizations should adopt policies that recognize linguistic diversity as a strength. Investing in high-quality language services enhances social cohesion and reputation within the community.</w:t>
      </w:r>
    </w:p>
    <w:bookmarkEnd w:id="30"/>
    <w:bookmarkStart w:id="31" w:name="results-and-impact"/>
    <w:p>
      <w:pPr>
        <w:pStyle w:val="Heading2"/>
      </w:pPr>
      <w:r>
        <w:t xml:space="preserve">7. Results and Impact</w:t>
      </w:r>
    </w:p>
    <w:p>
      <w:pPr>
        <w:pStyle w:val="FirstParagraph"/>
      </w:pPr>
      <w:r>
        <w:t xml:space="preserve">Cases where professional Translator and Interpreter services were integrated early in project planning showed significantly higher success rates. For instance, an international NGO operating in Belgium Brussels reported a 40% increase in community engagement after employing certified interpreters for their outreach programs, compared to using ad-hoc volunteers.</w:t>
      </w:r>
    </w:p>
    <w:p>
      <w:pPr>
        <w:pStyle w:val="BodyText"/>
      </w:pPr>
      <w:r>
        <w:t xml:space="preserve">Furthermore, legal firms specializing in international law noted that utilizing specialized Translators reduced the time spent on clarifying ambiguous contractual terms by nearly half, thereby increasing efficiency and client satisfaction.</w:t>
      </w:r>
    </w:p>
    <w:bookmarkEnd w:id="31"/>
    <w:bookmarkStart w:id="32" w:name="conclusion"/>
    <w:p>
      <w:pPr>
        <w:pStyle w:val="Heading2"/>
      </w:pPr>
      <w:r>
        <w:t xml:space="preserve">8. Conclusion</w:t>
      </w:r>
    </w:p>
    <w:p>
      <w:pPr>
        <w:pStyle w:val="FirstParagraph"/>
      </w:pPr>
      <w:r>
        <w:t xml:space="preserve">The case of Belgium Brussels demonstrates that language is a critical infrastructure. For any organization aiming to operate effectively in this unique ecosystem, the investment in professional Translator and Interpreter services is not an overhead cost but a strategic necessity. The complexity, diversity, and political sensitivity of the region demand excellence.</w:t>
      </w:r>
    </w:p>
    <w:p>
      <w:pPr>
        <w:pStyle w:val="BodyText"/>
      </w:pPr>
      <w:r>
        <w:t xml:space="preserve">As Belgium Brussels continues to grow as a global hub for diplomacy and business, the reliance on high-quality language services will only intensify. Stakeholders who recognize this reality and prioritize linguistic precision will be better positioned to navigate the challenges of this vibrant, multilingual capital.</w:t>
      </w:r>
    </w:p>
    <w:bookmarkEnd w:id="32"/>
    <w:bookmarkStart w:id="33" w:name="references"/>
    <w:p>
      <w:pPr>
        <w:pStyle w:val="Heading2"/>
      </w:pPr>
      <w:r>
        <w:t xml:space="preserve">9. References</w:t>
      </w:r>
    </w:p>
    <w:p>
      <w:pPr>
        <w:numPr>
          <w:ilvl w:val="0"/>
          <w:numId w:val="1003"/>
        </w:numPr>
        <w:pStyle w:val="Compact"/>
      </w:pPr>
      <w:r>
        <w:t xml:space="preserve">European Commission Language Services Annual Report 2023.</w:t>
      </w:r>
    </w:p>
    <w:p>
      <w:pPr>
        <w:numPr>
          <w:ilvl w:val="0"/>
          <w:numId w:val="1003"/>
        </w:numPr>
        <w:pStyle w:val="Compact"/>
      </w:pPr>
      <w:r>
        <w:t xml:space="preserve">Municipalities of the Brussels-Capital Region Language Policy Guidelines.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Belgium Brussels</dc:title>
  <dc:creator/>
  <dc:language>en</dc:language>
  <cp:keywords/>
  <dcterms:created xsi:type="dcterms:W3CDTF">2026-07-29T09:22:07Z</dcterms:created>
  <dcterms:modified xsi:type="dcterms:W3CDTF">2026-07-29T09:22:07Z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