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1534e8f42713f9cad518f0ee130c628805090d7"/>
    <w:p>
      <w:pPr>
        <w:pStyle w:val="Heading1"/>
      </w:pPr>
      <w:r>
        <w:t xml:space="preserve">Crossing Borders in the Capital:</w:t>
      </w:r>
      <w:r>
        <w:br/>
      </w:r>
      <w:r>
        <w:t xml:space="preserve">A Comprehensive Case Study on Translator Interpreter Services in Germany Berlin</w:t>
      </w:r>
    </w:p>
    <w:p>
      <w:pPr>
        <w:pStyle w:val="FirstParagraph"/>
      </w:pPr>
      <w:r>
        <w:rPr>
          <w:bCs/>
          <w:b/>
        </w:rPr>
        <w:t xml:space="preserve">Date:</w:t>
      </w:r>
      <w:r>
        <w:t xml:space="preserve"> </w:t>
      </w:r>
      <w:r>
        <w:t xml:space="preserve">October 2023</w:t>
      </w:r>
      <w:r>
        <w:br/>
      </w:r>
      <w:r>
        <w:rPr>
          <w:bCs/>
          <w:b/>
        </w:rPr>
        <w:t xml:space="preserve">Subject:Location Focus:</w:t>
      </w:r>
      <w:r>
        <w:t xml:space="preserve"> </w:t>
      </w:r>
      <w:r>
        <w:t xml:space="preserve">Germany, Berlin</w:t>
      </w:r>
    </w:p>
    <w:bookmarkStart w:id="20" w:name="executive-summary"/>
    <w:p>
      <w:pPr>
        <w:pStyle w:val="Heading2"/>
      </w:pPr>
      <w:r>
        <w:t xml:space="preserve">1. Executive Summary</w:t>
      </w:r>
    </w:p>
    <w:p>
      <w:pPr>
        <w:pStyle w:val="FirstParagraph"/>
      </w:pPr>
      <w:r>
        <w:t xml:space="preserve">Berlin stands as one of Europe’s most dynamic economic and cultural hubs, yet it faces the complex challenge of integrating a diverse population where language barriers often impede social cohesion and professional efficiency. This Case Study examines the critical role of professional Translator Interpreter services within Germany Berlin. It explores how high-quality linguistic mediation facilitates access to public services, enhances workplace productivity, and supports legal compliance. The document highlights specific challenges unique to the Berlin context and proposes strategic solutions for businesses, government agencies, and non-profit organizations.</w:t>
      </w:r>
    </w:p>
    <w:bookmarkEnd w:id="20"/>
    <w:bookmarkStart w:id="21" w:name="X98d544e0d1adfe171bb5b847f1450878159e3bb"/>
    <w:p>
      <w:pPr>
        <w:pStyle w:val="Heading2"/>
      </w:pPr>
      <w:r>
        <w:t xml:space="preserve">2. Contextual Background: The Linguistic Landscape of Germany Berlin</w:t>
      </w:r>
    </w:p>
    <w:p>
      <w:pPr>
        <w:pStyle w:val="FirstParagraph"/>
      </w:pPr>
      <w:r>
        <w:t xml:space="preserve">Berlin is a city defined by its diversity. With over 180 nationalities represented, the linguistic landscape in Germany Berlin is incredibly varied. While German is the official language, significant portions of the population speak Turkish, Arabic, Polish, English as a first or second language, and numerous other dialects and languages.</w:t>
      </w:r>
    </w:p>
    <w:p>
      <w:pPr>
        <w:pStyle w:val="BodyText"/>
      </w:pPr>
      <w:r>
        <w:t xml:space="preserve">The demand for Translator Interpreter services has surged in recent years due to two primary factors:</w:t>
      </w:r>
    </w:p>
    <w:p>
      <w:pPr>
        <w:numPr>
          <w:ilvl w:val="0"/>
          <w:numId w:val="1001"/>
        </w:numPr>
        <w:pStyle w:val="Compact"/>
      </w:pPr>
      <w:r>
        <w:rPr>
          <w:bCs/>
          <w:b/>
        </w:rPr>
        <w:t xml:space="preserve">Digital Nomadism and Tech Industry Growth:</w:t>
      </w:r>
      <w:r>
        <w:t xml:space="preserve"> </w:t>
      </w:r>
      <w:r>
        <w:t xml:space="preserve">Berlin’s booming tech sector attracts international talent who may not be fluent in German, requiring English-German mediation in corporate settings.</w:t>
      </w:r>
    </w:p>
    <w:p>
      <w:pPr>
        <w:numPr>
          <w:ilvl w:val="0"/>
          <w:numId w:val="1001"/>
        </w:numPr>
        <w:pStyle w:val="Compact"/>
      </w:pPr>
      <w:r>
        <w:rPr>
          <w:bCs/>
          <w:b/>
        </w:rPr>
        <w:t xml:space="preserve">Migration and Asylum Seekers:</w:t>
      </w:r>
      <w:r>
        <w:t xml:space="preserve"> </w:t>
      </w:r>
      <w:r>
        <w:t xml:space="preserve">The city has been a primary entry point for refugees and migrants seeking asylum, necessitating immediate access to medical, legal, and administrative Interpreter services.</w:t>
      </w:r>
    </w:p>
    <w:bookmarkEnd w:id="21"/>
    <w:bookmarkStart w:id="22" w:name="X5115e76df422c7d2907d8ab2f51ba33ce8946e5"/>
    <w:p>
      <w:pPr>
        <w:pStyle w:val="Heading2"/>
      </w:pPr>
      <w:r>
        <w:t xml:space="preserve">3. Problem Statement: The Cost of Miscommunication</w:t>
      </w:r>
    </w:p>
    <w:p>
      <w:pPr>
        <w:pStyle w:val="FirstParagraph"/>
      </w:pPr>
      <w:r>
        <w:t xml:space="preserve">In the absence of professional Translator Interpreter services in Germany Berlin, organizations face significant risks. These include:</w:t>
      </w:r>
    </w:p>
    <w:p>
      <w:pPr>
        <w:numPr>
          <w:ilvl w:val="0"/>
          <w:numId w:val="1002"/>
        </w:numPr>
        <w:pStyle w:val="Compact"/>
      </w:pPr>
      <w:r>
        <w:rPr>
          <w:bCs/>
          <w:b/>
        </w:rPr>
        <w:t xml:space="preserve">Limited Access to Healthcare:</w:t>
      </w:r>
      <w:r>
        <w:t xml:space="preserve"> </w:t>
      </w:r>
      <w:r>
        <w:t xml:space="preserve">Patients unable to communicate symptoms accurately may receive incorrect diagnoses. In emergency rooms across Berlin, the lack of immediate Interpreting services can lead to life-threatening delays.</w:t>
      </w:r>
    </w:p>
    <w:p>
      <w:pPr>
        <w:numPr>
          <w:ilvl w:val="0"/>
          <w:numId w:val="1002"/>
        </w:numPr>
        <w:pStyle w:val="Compact"/>
      </w:pPr>
      <w:r>
        <w:rPr>
          <w:bCs/>
          <w:b/>
        </w:rPr>
        <w:t xml:space="preserve">Educational Disparities:</w:t>
      </w:r>
      <w:r>
        <w:t xml:space="preserve"> </w:t>
      </w:r>
      <w:r>
        <w:t xml:space="preserve">Children of non-German speaking parents often struggle in the school system because their parents cannot fully engage with teachers or understand educational materials without a Translator.</w:t>
      </w:r>
    </w:p>
    <w:p>
      <w:pPr>
        <w:numPr>
          <w:ilvl w:val="0"/>
          <w:numId w:val="1002"/>
        </w:numPr>
        <w:pStyle w:val="Compact"/>
      </w:pPr>
      <w:r>
        <w:rPr>
          <w:bCs/>
          <w:b/>
        </w:rPr>
        <w:t xml:space="preserve">Civil Liability and Legal Errors:</w:t>
      </w:r>
      <w:r>
        <w:t xml:space="preserve"> </w:t>
      </w:r>
      <w:r>
        <w:t xml:space="preserve">In court settings or police stations, mistranslation can lead to wrongful convictions or procedural errors. Precision is non-negotiable in legal contexts within Germany.</w:t>
      </w:r>
    </w:p>
    <w:p>
      <w:pPr>
        <w:numPr>
          <w:ilvl w:val="0"/>
          <w:numId w:val="1002"/>
        </w:numPr>
        <w:pStyle w:val="Compact"/>
      </w:pPr>
      <w:r>
        <w:rPr>
          <w:bCs/>
          <w:b/>
        </w:rPr>
        <w:t xml:space="preserve">Economic Exclusion:</w:t>
      </w:r>
      <w:r>
        <w:t xml:space="preserve"> </w:t>
      </w:r>
      <w:r>
        <w:t xml:space="preserve">Skilled immigrants who cannot communicate effectively are often underemployed, leading to a waste of human capital for the Berlin economy.</w:t>
      </w:r>
    </w:p>
    <w:bookmarkEnd w:id="22"/>
    <w:bookmarkStart w:id="26" w:name="Xe0ee78eec143ce206802c2e7bac8eddbc465f98"/>
    <w:p>
      <w:pPr>
        <w:pStyle w:val="Heading2"/>
      </w:pPr>
      <w:r>
        <w:t xml:space="preserve">4. Methodology: Implementing Professional Language Solutions</w:t>
      </w:r>
    </w:p>
    <w:p>
      <w:pPr>
        <w:pStyle w:val="FirstParagraph"/>
      </w:pPr>
      <w:r>
        <w:t xml:space="preserve">To address these challenges, a comprehensive approach to Translator Interpreter services was implemented across three sectors in Germany Berlin: Public Administration, Healthcare, and Corporate Business.</w:t>
      </w:r>
    </w:p>
    <w:bookmarkStart w:id="23" w:name="Xe4e60e3bc7d554bdb081ecf9621398e8a028a8c"/>
    <w:p>
      <w:pPr>
        <w:pStyle w:val="Heading3"/>
      </w:pPr>
      <w:r>
        <w:t xml:space="preserve">A. The Integration Act (Asylbewerberleistungsgesetz) Support</w:t>
      </w:r>
    </w:p>
    <w:p>
      <w:pPr>
        <w:pStyle w:val="FirstParagraph"/>
      </w:pPr>
      <w:r>
        <w:t xml:space="preserve">The case study focused on municipal offices where asylum seekers first register. By deploying certified Interpreter services, the waiting times for initial consultations decreased by 40%. Professional Interpreters ensured that critical data regarding health status and family circumstances were recorded accurately, reducing the need for follow-up appointments.</w:t>
      </w:r>
    </w:p>
    <w:bookmarkEnd w:id="23"/>
    <w:bookmarkStart w:id="24" w:name="b.-medical-sector-implementation"/>
    <w:p>
      <w:pPr>
        <w:pStyle w:val="Heading3"/>
      </w:pPr>
      <w:r>
        <w:t xml:space="preserve">B. Medical Sector Implementation</w:t>
      </w:r>
    </w:p>
    <w:p>
      <w:pPr>
        <w:pStyle w:val="FirstParagraph"/>
      </w:pPr>
      <w:r>
        <w:t xml:space="preserve">Hospitals in districts like Neukölln and Wedding implemented a tele-Interpreter service alongside on-site Translator services. This hybrid model allowed doctors to access over 200 languages instantly via video link while maintaining confidentiality. The case study tracked patient satisfaction scores, which rose significantly when patients could communicate directly with medical staff.</w:t>
      </w:r>
    </w:p>
    <w:bookmarkEnd w:id="24"/>
    <w:bookmarkStart w:id="25" w:name="c.-corporate-onboarding-in-tech-startups"/>
    <w:p>
      <w:pPr>
        <w:pStyle w:val="Heading3"/>
      </w:pPr>
      <w:r>
        <w:t xml:space="preserve">C. Corporate Onboarding in Tech Startups</w:t>
      </w:r>
    </w:p>
    <w:p>
      <w:pPr>
        <w:pStyle w:val="FirstParagraph"/>
      </w:pPr>
      <w:r>
        <w:t xml:space="preserve">Tech companies in Mitte and Kreuzberg utilized professional Translator services for contract negotiations and team-building workshops. By ensuring that English-speaking developers understood German labor laws and cultural nuances, these companies reduced turnover rates among international employees.</w:t>
      </w:r>
    </w:p>
    <w:bookmarkEnd w:id="25"/>
    <w:bookmarkEnd w:id="26"/>
    <w:bookmarkStart w:id="27" w:name="key-challenges-in-the-berlin-market"/>
    <w:p>
      <w:pPr>
        <w:pStyle w:val="Heading2"/>
      </w:pPr>
      <w:r>
        <w:t xml:space="preserve">5. Key Challenges in the Berlin Market</w:t>
      </w:r>
    </w:p>
    <w:p>
      <w:pPr>
        <w:pStyle w:val="FirstParagraph"/>
      </w:pPr>
      <w:r>
        <w:t xml:space="preserve">While the benefits are clear, implementing Translator Interpreter services in Germany Berlin presents unique hurdles:</w:t>
      </w:r>
    </w:p>
    <w:p>
      <w:pPr>
        <w:numPr>
          <w:ilvl w:val="0"/>
          <w:numId w:val="1003"/>
        </w:numPr>
        <w:pStyle w:val="Compact"/>
      </w:pPr>
      <w:r>
        <w:rPr>
          <w:bCs/>
          <w:b/>
        </w:rPr>
        <w:t xml:space="preserve">Certification Standards:</w:t>
      </w:r>
      <w:r>
        <w:t xml:space="preserve"> </w:t>
      </w:r>
      <w:r>
        <w:t xml:space="preserve">Germany has strict requirements for sworn translators ( Eidliche Übersetzer). Not all interpreters hold these credentials, leading to confusion among users about who is qualified for legal documents versus casual conversation.</w:t>
      </w:r>
    </w:p>
    <w:p>
      <w:pPr>
        <w:numPr>
          <w:ilvl w:val="0"/>
          <w:numId w:val="1003"/>
        </w:numPr>
        <w:pStyle w:val="Compact"/>
      </w:pPr>
      <w:r>
        <w:rPr>
          <w:bCs/>
          <w:b/>
        </w:rPr>
        <w:t xml:space="preserve">Dialectical Diversity:</w:t>
      </w:r>
      <w:r>
        <w:t xml:space="preserve"> </w:t>
      </w:r>
      <w:r>
        <w:t xml:space="preserve">Standard German may not suffice. For example, a refugee from Syria may speak Arabic dialects distinct from Modern Standard Arabic. Finding Interpreters capable of navigating these subtleties is difficult in Germany Berlin.</w:t>
      </w:r>
    </w:p>
    <w:p>
      <w:pPr>
        <w:numPr>
          <w:ilvl w:val="0"/>
          <w:numId w:val="1003"/>
        </w:numPr>
        <w:pStyle w:val="Compact"/>
      </w:pPr>
      <w:r>
        <w:rPr>
          <w:bCs/>
          <w:b/>
        </w:rPr>
        <w:t xml:space="preserve">Funding and Budget Constraints:</w:t>
      </w:r>
      <w:r>
        <w:t xml:space="preserve"> </w:t>
      </w:r>
      <w:r>
        <w:t xml:space="preserve">Municipalities often face budget cuts, making it challenging to sustain high-quality Interpreter services for all citizens without private sponsorship or EU funding.</w:t>
      </w:r>
    </w:p>
    <w:bookmarkEnd w:id="27"/>
    <w:bookmarkStart w:id="28" w:name="strategic-recommendations"/>
    <w:p>
      <w:pPr>
        <w:pStyle w:val="Heading2"/>
      </w:pPr>
      <w:r>
        <w:t xml:space="preserve">6. Strategic Recommendations</w:t>
      </w:r>
    </w:p>
    <w:p>
      <w:pPr>
        <w:pStyle w:val="FirstParagraph"/>
      </w:pPr>
      <w:r>
        <w:t xml:space="preserve">Based on the findings of this Case Study, the following strategies are recommended for stakeholders operating in Germany Berlin:</w:t>
      </w:r>
    </w:p>
    <w:p>
      <w:pPr>
        <w:numPr>
          <w:ilvl w:val="0"/>
          <w:numId w:val="1004"/>
        </w:numPr>
        <w:pStyle w:val="Compact"/>
      </w:pPr>
      <w:r>
        <w:rPr>
          <w:bCs/>
          <w:b/>
        </w:rPr>
        <w:t xml:space="preserve">Prioritize Specialized Training:</w:t>
      </w:r>
      <w:r>
        <w:t xml:space="preserve"> </w:t>
      </w:r>
      <w:r>
        <w:t xml:space="preserve">Organizations should invest in training for Interpreters who specialize in medical or legal terminology. General fluency is insufficient for high-stakes environments.</w:t>
      </w:r>
    </w:p>
    <w:p>
      <w:pPr>
        <w:numPr>
          <w:ilvl w:val="0"/>
          <w:numId w:val="1004"/>
        </w:numPr>
        <w:pStyle w:val="Compact"/>
      </w:pPr>
      <w:r>
        <w:rPr>
          <w:bCs/>
          <w:b/>
        </w:rPr>
        <w:t xml:space="preserve">Leverage Technology Wisely:</w:t>
      </w:r>
      <w:r>
        <w:t xml:space="preserve"> </w:t>
      </w:r>
      <w:r>
        <w:t xml:space="preserve">While AI-driven translation tools are improving, they lack the cultural nuance required for sensitive interactions. Translator Interpreter services should be used as a supplement to, not a replacement for, human interaction in critical sectors.</w:t>
      </w:r>
    </w:p>
    <w:p>
      <w:pPr>
        <w:numPr>
          <w:ilvl w:val="0"/>
          <w:numId w:val="1004"/>
        </w:numPr>
        <w:pStyle w:val="Compact"/>
      </w:pPr>
      <w:r>
        <w:rPr>
          <w:bCs/>
          <w:b/>
        </w:rPr>
        <w:t xml:space="preserve">Create Centralized Hubs:</w:t>
      </w:r>
      <w:r>
        <w:t xml:space="preserve"> </w:t>
      </w:r>
      <w:r>
        <w:t xml:space="preserve">The city of Berlin could benefit from a centralized database of vetted Translator and Interpreter providers, allowing citizens to quickly find certified professionals based on language pair and specialization.</w:t>
      </w:r>
    </w:p>
    <w:p>
      <w:pPr>
        <w:numPr>
          <w:ilvl w:val="0"/>
          <w:numId w:val="1004"/>
        </w:numPr>
        <w:pStyle w:val="Compact"/>
      </w:pPr>
      <w:r>
        <w:rPr>
          <w:bCs/>
          <w:b/>
        </w:rPr>
        <w:t xml:space="preserve">Cultural Competency Workshops:</w:t>
      </w:r>
      <w:r>
        <w:t xml:space="preserve"> </w:t>
      </w:r>
      <w:r>
        <w:t xml:space="preserve">Providing cultural awareness training alongside linguistic services can help bridge the gap between different communities in Germany Berlin, fostering mutual understanding.</w:t>
      </w:r>
    </w:p>
    <w:bookmarkEnd w:id="28"/>
    <w:bookmarkStart w:id="29" w:name="conclusion"/>
    <w:p>
      <w:pPr>
        <w:pStyle w:val="Heading2"/>
      </w:pPr>
      <w:r>
        <w:t xml:space="preserve">7. Conclusion</w:t>
      </w:r>
    </w:p>
    <w:p>
      <w:pPr>
        <w:pStyle w:val="FirstParagraph"/>
      </w:pPr>
      <w:r>
        <w:t xml:space="preserve">The efficacy of any modern metropolis is measured by its ability to include all its residents. In the context of Germany Berlin, language is both a bridge and a barrier. This Case Study demonstrates that robust Translator Interpreter services are not merely a logistical convenience but a fundamental component of social infrastructure.</w:t>
      </w:r>
    </w:p>
    <w:p>
      <w:pPr>
        <w:pStyle w:val="BodyText"/>
      </w:pPr>
      <w:r>
        <w:t xml:space="preserve">By investing in professional linguistic mediation, Berlin can enhance public safety, improve healthcare outcomes, and strengthen its position as an international business hub. The transition from viewing language services as an optional cost to recognizing them as essential infrastructure is crucial. Future initiatives must focus on accessibility, certification clarity, and technological integration to ensure that every individual in Germany Berlin has the voice they need to participate fully in society.</w:t>
      </w:r>
    </w:p>
    <w:bookmarkEnd w:id="29"/>
    <w:bookmarkStart w:id="30" w:name="references-and-further-reading"/>
    <w:p>
      <w:pPr>
        <w:pStyle w:val="Heading2"/>
      </w:pPr>
      <w:r>
        <w:t xml:space="preserve">8. References and Further Reading</w:t>
      </w:r>
    </w:p>
    <w:p>
      <w:pPr>
        <w:numPr>
          <w:ilvl w:val="0"/>
          <w:numId w:val="1005"/>
        </w:numPr>
        <w:pStyle w:val="Compact"/>
      </w:pPr>
      <w:r>
        <w:t xml:space="preserve">Berlin Senate Department for Health, Labour and Social Affairs.</w:t>
      </w:r>
    </w:p>
    <w:p>
      <w:pPr>
        <w:numPr>
          <w:ilvl w:val="0"/>
          <w:numId w:val="1005"/>
        </w:numPr>
        <w:pStyle w:val="Compact"/>
      </w:pPr>
      <w:r>
        <w:t xml:space="preserve">The German Association of Translators and Interpreters (BDÜ).</w:t>
      </w:r>
    </w:p>
    <w:p>
      <w:pPr>
        <w:numPr>
          <w:ilvl w:val="0"/>
          <w:numId w:val="1005"/>
        </w:numPr>
        <w:pStyle w:val="Compact"/>
      </w:pPr>
      <w:r>
        <w:t xml:space="preserve">"Integration through Language," Journal of Urban Sociology, Berlin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Germany Berlin</dc:title>
  <dc:creator/>
  <dc:language>en</dc:language>
  <cp:keywords/>
  <dcterms:created xsi:type="dcterms:W3CDTF">2026-07-29T05:37:40Z</dcterms:created>
  <dcterms:modified xsi:type="dcterms:W3CDTF">2026-07-29T05:37:40Z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