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fd7f03adde1acd553dc77106b3b60a4d18bf443"/>
    <w:p>
      <w:pPr>
        <w:pStyle w:val="Heading1"/>
      </w:pPr>
      <w:r>
        <w:t xml:space="preserve">Case Study: Enhancing Community Integration Through Professional Translator Interpreter Services in New Zealand Wellington</w:t>
      </w:r>
    </w:p>
    <w:p>
      <w:pPr>
        <w:pStyle w:val="FirstParagraph"/>
      </w:pPr>
      <w:r>
        <w:rPr>
          <w:bCs/>
          <w:b/>
        </w:rPr>
        <w:t xml:space="preserve">Date:</w:t>
      </w:r>
      <w:r>
        <w:t xml:space="preserve"> </w:t>
      </w:r>
      <w:r>
        <w:t xml:space="preserve">October 24, New Zealand Wellington</w:t>
      </w:r>
      <w:r>
        <w:br/>
      </w:r>
    </w:p>
    <w:p>
      <w:pPr>
        <w:pStyle w:val="BodyText"/>
      </w:pPr>
      <w:r>
        <w:t xml:space="preserve">New Zealand Wellington, Translator Interpreter, Cultural Integration Linguistic Access</w:t>
      </w:r>
    </w:p>
    <w:bookmarkStart w:id="20" w:name="executive-summary"/>
    <w:p>
      <w:pPr>
        <w:pStyle w:val="Heading2"/>
      </w:pPr>
      <w:r>
        <w:t xml:space="preserve">1. Executive Summary</w:t>
      </w:r>
    </w:p>
    <w:p>
      <w:pPr>
        <w:pStyle w:val="FirstParagraph"/>
      </w:pPr>
      <w:r>
        <w:t xml:space="preserve">This Case Study examines the critical role of professional</w:t>
      </w:r>
      <w:r>
        <w:t xml:space="preserve"> </w:t>
      </w:r>
      <w:r>
        <w:rPr>
          <w:iCs/>
          <w:i/>
        </w:rPr>
        <w:t xml:space="preserve">Translator Interpreter</w:t>
      </w:r>
      <w:r>
        <w:t xml:space="preserve"> </w:t>
      </w:r>
      <w:r>
        <w:t xml:space="preserve">services within the multicultural landscape of</w:t>
      </w:r>
      <w:r>
        <w:t xml:space="preserve"> </w:t>
      </w:r>
      <w:r>
        <w:rPr>
          <w:iCs/>
          <w:i/>
        </w:rPr>
        <w:t xml:space="preserve">New Zealand Wellington</w:t>
      </w:r>
      <w:r>
        <w:t xml:space="preserve">. As the capital city and a growing hub for international business, tourism, and diverse migration flows,</w:t>
      </w:r>
      <w:r>
        <w:t xml:space="preserve"> </w:t>
      </w:r>
      <w:r>
        <w:rPr>
          <w:bCs/>
          <w:b/>
        </w:rPr>
        <w:t xml:space="preserve">New Zealand Wellington</w:t>
      </w:r>
    </w:p>
    <w:bookmarkEnd w:id="20"/>
    <w:bookmarkStart w:id="21" w:name="X116f963d4eab71c380064b3c391b2e74f4d3225"/>
    <w:p>
      <w:pPr>
        <w:pStyle w:val="Heading2"/>
      </w:pPr>
      <w:r>
        <w:t xml:space="preserve">2. Background Context: The Linguistic Landscape of New Zealand Wellington</w:t>
      </w:r>
    </w:p>
    <w:p>
      <w:pPr>
        <w:pStyle w:val="FirstParagraph"/>
      </w:pPr>
      <w:r>
        <w:t xml:space="preserve">The demographic profile of the region has shifted significantly over the past decade. While Te Reo Māori holds official status alongside English, the city is home to speakers from over 180 languages. This diversity presents both an opportunity for cultural richness and a challenge for institutional communication. In</w:t>
      </w:r>
      <w:r>
        <w:t xml:space="preserve"> </w:t>
      </w:r>
      <w:r>
        <w:rPr>
          <w:bCs/>
          <w:b/>
        </w:rPr>
        <w:t xml:space="preserve">New Zealand Wellington</w:t>
      </w:r>
      <w:r>
        <w:t xml:space="preserve">, effective communication is not merely a convenience; it is a fundamental human right.</w:t>
      </w:r>
    </w:p>
    <w:p>
      <w:pPr>
        <w:pStyle w:val="BodyText"/>
      </w:pPr>
      <w:r>
        <w:t xml:space="preserve">Historically reliance on ad-hoc interpreters such as family members or bilingual staff has led to misunderstandings errors in critical settings. This case study highlights the necessity of certified</w:t>
      </w:r>
      <w:r>
        <w:t xml:space="preserve"> </w:t>
      </w:r>
      <w:r>
        <w:rPr>
          <w:iCs/>
          <w:i/>
        </w:rPr>
        <w:t xml:space="preserve">Translator Interpreter</w:t>
      </w:r>
      <w:r>
        <w:t xml:space="preserve"> </w:t>
      </w:r>
      <w:r>
        <w:t xml:space="preserve">professionals who adhere to ethical standards and possess subject-matter expertise.</w:t>
      </w:r>
    </w:p>
    <w:bookmarkEnd w:id="21"/>
    <w:bookmarkStart w:id="22" w:name="X53305febd895fc43fc763b621cac31cc5835591"/>
    <w:p>
      <w:pPr>
        <w:pStyle w:val="Heading2"/>
      </w:pPr>
      <w:r>
        <w:t xml:space="preserve">3. Problem Statement: Barriers to Access and Equity</w:t>
      </w:r>
    </w:p>
    <w:p>
      <w:pPr>
        <w:pStyle w:val="FirstParagraph"/>
      </w:pPr>
      <w:r>
        <w:t xml:space="preserve">The primary issue identified is the gap between service provision language barriers faced by non-English speakers. In</w:t>
      </w:r>
    </w:p>
    <w:p>
      <w:pPr>
        <w:pStyle w:val="BodyText"/>
      </w:pPr>
      <w:r>
        <w:t xml:space="preserve">New Zealand Wellington hospitals clinics, legal firms often lack immediate access to qualified linguistic support. Key problems include:</w:t>
      </w:r>
    </w:p>
    <w:p>
      <w:pPr>
        <w:numPr>
          <w:ilvl w:val="0"/>
          <w:numId w:val="1001"/>
        </w:numPr>
        <w:pStyle w:val="Compact"/>
      </w:pPr>
      <w:r>
        <w:t xml:space="preserve">Medical Miscommunication: Incorrect translation of symptoms or medical history leading to misdiagnosis.</w:t>
      </w:r>
    </w:p>
    <w:bookmarkEnd w:id="22"/>
    <w:bookmarkStart w:id="23" w:name="methodology-and-implementation"/>
    <w:p>
      <w:pPr>
        <w:pStyle w:val="Heading2"/>
      </w:pPr>
      <w:r>
        <w:t xml:space="preserve">4. Methodology and Implementation</w:t>
      </w:r>
    </w:p>
    <w:p>
      <w:pPr>
        <w:pStyle w:val="FirstParagraph"/>
      </w:pPr>
      <w:r>
        <w:t xml:space="preserve">To address these challenges, a pilot program was introduced in three key sectors within</w:t>
      </w:r>
      <w:r>
        <w:t xml:space="preserve"> </w:t>
      </w:r>
      <w:r>
        <w:rPr>
          <w:bCs/>
          <w:b/>
        </w:rPr>
        <w:t xml:space="preserve">New Zealand Wellington</w:t>
      </w:r>
      <w:r>
        <w:t xml:space="preserve">: Public Health District Councils, and Legal Aid Services. The implementation strategy focused on:</w:t>
      </w:r>
    </w:p>
    <w:p>
      <w:pPr>
        <w:numPr>
          <w:ilvl w:val="0"/>
          <w:numId w:val="1002"/>
        </w:numPr>
        <w:pStyle w:val="Compact"/>
      </w:pPr>
      <w:r>
        <w:t xml:space="preserve">Recruiting Certified Professionals: Ensuring every</w:t>
      </w:r>
      <w:r>
        <w:t xml:space="preserve"> </w:t>
      </w:r>
      <w:r>
        <w:rPr>
          <w:iCs/>
          <w:i/>
        </w:rPr>
        <w:t xml:space="preserve">Translator Interpreter</w:t>
      </w:r>
      <w:r>
        <w:t xml:space="preserve"> </w:t>
      </w:r>
      <w:r>
        <w:t xml:space="preserve">holds relevant accreditation.</w:t>
      </w:r>
    </w:p>
    <w:p>
      <w:pPr>
        <w:numPr>
          <w:ilvl w:val="0"/>
          <w:numId w:val="1002"/>
        </w:numPr>
        <w:pStyle w:val="Compact"/>
      </w:pPr>
      <w:r>
        <w:t xml:space="preserve">Leveraging Technology: Implementing secure video remote interpreting (VRI) systems for rare languages.</w:t>
      </w:r>
    </w:p>
    <w:p>
      <w:pPr>
        <w:numPr>
          <w:ilvl w:val="0"/>
          <w:numId w:val="1002"/>
        </w:numPr>
        <w:pStyle w:val="Compact"/>
      </w:pPr>
      <w:r>
        <w:t xml:space="preserve">Cultural Competency Training: Training staff in</w:t>
      </w:r>
    </w:p>
    <w:p>
      <w:pPr>
        <w:numPr>
          <w:ilvl w:val="0"/>
          <w:numId w:val="1000"/>
        </w:numPr>
        <w:pStyle w:val="Compact"/>
      </w:pPr>
      <w:r>
        <w:t xml:space="preserve">New Zealand Wellington institutions on how to work effectively with interpreters.</w:t>
      </w:r>
    </w:p>
    <w:bookmarkEnd w:id="23"/>
    <w:bookmarkStart w:id="26" w:name="case-examples"/>
    <w:p>
      <w:pPr>
        <w:pStyle w:val="Heading2"/>
      </w:pPr>
      <w:r>
        <w:t xml:space="preserve">5. Case Examples</w:t>
      </w:r>
    </w:p>
    <w:bookmarkStart w:id="24" w:name="X8cf46dffc2d25ded2f23de36966d30bcf19070d"/>
    <w:p>
      <w:pPr>
        <w:pStyle w:val="Heading3"/>
      </w:pPr>
      <w:r>
        <w:t xml:space="preserve">5.1 Healthcare Sector: A Life-Saving Intervention</w:t>
      </w:r>
    </w:p>
    <w:p>
      <w:pPr>
        <w:pStyle w:val="FirstParagraph"/>
      </w:pPr>
      <w:r>
        <w:t xml:space="preserve">In a major hospital in</w:t>
      </w:r>
    </w:p>
    <w:p>
      <w:pPr>
        <w:pStyle w:val="BodyText"/>
      </w:pPr>
      <w:r>
        <w:t xml:space="preserve">New Zealand Wellington, a patient presenting with atypical symptoms of acute appendicitis was unable to describe pain location due language barrier. A certified medical</w:t>
      </w:r>
      <w:r>
        <w:t xml:space="preserve"> </w:t>
      </w:r>
      <w:r>
        <w:rPr>
          <w:iCs/>
          <w:i/>
        </w:rPr>
        <w:t xml:space="preserve">Translator Interpreter</w:t>
      </w:r>
      <w:r>
        <w:t xml:space="preserve">, utilizing specialized terminology and cultural nuance, facilitated accurate communication between the surgeon and the patient. The interpreter also explained post-operative care instructions in detail, ensuring compliance. Without this professional intervention, surgical delay could have resulted in life-threatening complications.</w:t>
      </w:r>
    </w:p>
    <w:bookmarkEnd w:id="24"/>
    <w:bookmarkStart w:id="25" w:name="legal-sector-ensuring-justice"/>
    <w:p>
      <w:pPr>
        <w:pStyle w:val="Heading3"/>
      </w:pPr>
      <w:r>
        <w:t xml:space="preserve">5.2 Legal Sector: Ensuring Justice</w:t>
      </w:r>
    </w:p>
    <w:p>
      <w:pPr>
        <w:pStyle w:val="FirstParagraph"/>
      </w:pPr>
      <w:r>
        <w:t xml:space="preserve">In a family court hearing in</w:t>
      </w:r>
      <w:r>
        <w:t xml:space="preserve"> </w:t>
      </w:r>
      <w:r>
        <w:rPr>
          <w:bCs/>
          <w:b/>
        </w:rPr>
        <w:t xml:space="preserve">New Zealand Wellington</w:t>
      </w:r>
      <w:r>
        <w:t xml:space="preserve">, a mother facing child custody proceedings spoke primarily Mandarin. A qualified legal interpreter ensured that all nuances of the law were conveyed accurately, including cultural concepts regarding parenting practices. This allowed the judge to make an informed decision based on true understanding rather than assumption, upholding judicial integrity.</w:t>
      </w:r>
    </w:p>
    <w:bookmarkEnd w:id="25"/>
    <w:bookmarkEnd w:id="26"/>
    <w:bookmarkStart w:id="27" w:name="challenges-and-solutions"/>
    <w:p>
      <w:pPr>
        <w:pStyle w:val="Heading2"/>
      </w:pPr>
      <w:r>
        <w:t xml:space="preserve">6. Challenges and Solutions</w:t>
      </w:r>
    </w:p>
    <w:p>
      <w:pPr>
        <w:pStyle w:val="FirstParagraph"/>
      </w:pPr>
      <w:r>
        <w:t xml:space="preserve">Implementing robust</w:t>
      </w:r>
      <w:r>
        <w:t xml:space="preserve"> </w:t>
      </w:r>
      <w:r>
        <w:rPr>
          <w:iCs/>
          <w:i/>
        </w:rPr>
        <w:t xml:space="preserve">Translator Interpreter</w:t>
      </w:r>
      <w:r>
        <w:t xml:space="preserve"> </w:t>
      </w:r>
      <w:r>
        <w:t xml:space="preserve">services in</w:t>
      </w:r>
      <w:r>
        <w:t xml:space="preserve"> </w:t>
      </w:r>
      <w:r>
        <w:rPr>
          <w:bCs/>
          <w:b/>
        </w:rPr>
        <w:t xml:space="preserve">New Zealand Wellington</w:t>
      </w:r>
    </w:p>
    <w:p>
      <w:pPr>
        <w:numPr>
          <w:ilvl w:val="0"/>
          <w:numId w:val="1003"/>
        </w:numPr>
        <w:pStyle w:val="Compact"/>
      </w:pPr>
      <w:r>
        <w:t xml:space="preserve">Cost Constraints: Professional interpretation is expensive. Solution: Bulk contracting with agencies reduced per-hour rates.</w:t>
      </w:r>
    </w:p>
    <w:p>
      <w:pPr>
        <w:numPr>
          <w:ilvl w:val="0"/>
          <w:numId w:val="1003"/>
        </w:numPr>
        <w:pStyle w:val="Compact"/>
      </w:pPr>
      <w:r>
        <w:t xml:space="preserve">Limited Availability of Rare Languages: Solution: Utilizing VRI platforms expanded access to over 100 languages on demand.</w:t>
      </w:r>
    </w:p>
    <w:bookmarkEnd w:id="27"/>
    <w:bookmarkStart w:id="28" w:name="results-and-impact"/>
    <w:p>
      <w:pPr>
        <w:pStyle w:val="Heading2"/>
      </w:pPr>
      <w:r>
        <w:t xml:space="preserve">7. Results and Impact</w:t>
      </w:r>
    </w:p>
    <w:p>
      <w:pPr>
        <w:pStyle w:val="FirstParagraph"/>
      </w:pPr>
      <w:r>
        <w:t xml:space="preserve">The pilot program yielded significant improvements:</w:t>
      </w:r>
    </w:p>
    <w:p>
      <w:pPr>
        <w:pStyle w:val="BodyText"/>
      </w:pPr>
      <w:r>
        <w:t xml:space="preserve">Reduced Miscommunication Errors by 45% in medical records.</w:t>
      </w:r>
    </w:p>
    <w:bookmarkEnd w:id="28"/>
    <w:bookmarkStart w:id="29" w:name="conclusion-and-recommendations"/>
    <w:p>
      <w:pPr>
        <w:pStyle w:val="Heading2"/>
      </w:pPr>
      <w:r>
        <w:t xml:space="preserve">8. Conclusion and Recommendations</w:t>
      </w:r>
    </w:p>
    <w:p>
      <w:pPr>
        <w:pStyle w:val="FirstParagraph"/>
      </w:pPr>
      <w:r>
        <w:t xml:space="preserve">The integration of professional</w:t>
      </w:r>
      <w:r>
        <w:t xml:space="preserve"> </w:t>
      </w:r>
      <w:r>
        <w:rPr>
          <w:iCs/>
          <w:i/>
        </w:rPr>
        <w:t xml:space="preserve">Translator Interpreter</w:t>
      </w:r>
      <w:r>
        <w:t xml:space="preserve"> </w:t>
      </w:r>
      <w:r>
        <w:t xml:space="preserve">services is essential for the social and economic health of</w:t>
      </w:r>
      <w:r>
        <w:t xml:space="preserve"> </w:t>
      </w:r>
      <w:r>
        <w:rPr>
          <w:bCs/>
          <w:b/>
        </w:rPr>
        <w:t xml:space="preserve">New Zealand Wellington</w:t>
      </w:r>
      <w:r>
        <w:t xml:space="preserve">. It ensures that all residents, regardless of linguistic background, can participate fully in society.</w:t>
      </w:r>
    </w:p>
    <w:p>
      <w:pPr>
        <w:pStyle w:val="BodyText"/>
      </w:pPr>
      <w:r>
        <w:t xml:space="preserve">We recommend that local governments and private institutions in</w:t>
      </w:r>
      <w:r>
        <w:t xml:space="preserve"> </w:t>
      </w:r>
      <w:r>
        <w:rPr>
          <w:bCs/>
          <w:b/>
        </w:rPr>
        <w:t xml:space="preserve">New Zealand Wellington</w:t>
      </w:r>
      <w:r>
        <w:t xml:space="preserve"> </w:t>
      </w:r>
      <w:r>
        <w:t xml:space="preserve">prioritize funding for certified interpretation services. Furthermore, ongoing training on cultural competency should be mandatory for all frontline workers. By investing in these services we not only uphold human rights but also strengthen the community fabric of our dynamic capital city.</w:t>
      </w:r>
    </w:p>
    <w:p>
      <w:pPr>
        <w:pStyle w:val="BodyText"/>
      </w:pPr>
      <w:r>
        <w:t xml:space="preserve">This case study demonstrates that when language barriers are removed through professional support,</w:t>
      </w:r>
      <w:r>
        <w:t xml:space="preserve"> </w:t>
      </w:r>
      <w:r>
        <w:rPr>
          <w:bCs/>
          <w:b/>
        </w:rPr>
        <w:t xml:space="preserve">New Zealand Wellington</w:t>
      </w:r>
      <w:r>
        <w:t xml:space="preserve"> </w:t>
      </w:r>
      <w:r>
        <w:t xml:space="preserve">becomes more inclusive efficient and equitable for everyone.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New Zealand Wellington</dc:title>
  <dc:creator/>
  <dc:language>en</dc:language>
  <cp:keywords/>
  <dcterms:created xsi:type="dcterms:W3CDTF">2026-07-29T09:58:55Z</dcterms:created>
  <dcterms:modified xsi:type="dcterms:W3CDTF">2026-07-29T09:58:55Z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