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Multilingual</w:t>
      </w:r>
      <w:r>
        <w:t xml:space="preserve"> </w:t>
      </w:r>
      <w:r>
        <w:t xml:space="preserve">Communication</w:t>
      </w:r>
      <w:r>
        <w:t xml:space="preserve"> </w:t>
      </w:r>
      <w:r>
        <w:t xml:space="preserve">Solutions</w:t>
      </w:r>
      <w:r>
        <w:t xml:space="preserve"> </w:t>
      </w:r>
      <w:r>
        <w:t xml:space="preserve">for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Qatar</w:t>
      </w:r>
      <w:r>
        <w:t xml:space="preserve"> </w:t>
      </w:r>
      <w:r>
        <w:t xml:space="preserve">Doha</w:t>
      </w:r>
    </w:p>
    <w:bookmarkStart w:id="31" w:name="Xbb286d947cb643dba27445583cc41a12bae9535"/>
    <w:p>
      <w:pPr>
        <w:pStyle w:val="Heading1"/>
      </w:pPr>
      <w:r>
        <w:t xml:space="preserve">Case Study: Optimizing Translator Interpreter Services in Qatar Doha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Professional Language Services &amp; International Business</w:t>
      </w:r>
    </w:p>
    <w:bookmarkStart w:id="21" w:name="executive-summary"/>
    <w:p>
      <w:pPr>
        <w:pStyle w:val="Heading2"/>
      </w:pPr>
      <w:r>
        <w:t xml:space="preserve">1. Executive Summary</w:t>
      </w:r>
    </w:p>
    <w:p>
      <w:pPr>
        <w:pStyle w:val="FirstParagraph"/>
      </w:pPr>
      <w:r>
        <w:t xml:space="preserve">In the rapidly evolving landscape of global business and diplomatic engagement, effective communication is paramount. This</w:t>
      </w:r>
    </w:p>
    <w:p>
      <w:pPr>
        <w:pStyle w:val="BodyText"/>
      </w:pPr>
      <w:r>
        <w:t xml:space="preserve">Case Study examines the critical role and operational dynamics of</w:t>
      </w:r>
    </w:p>
    <w:p>
      <w:pPr>
        <w:pStyle w:val="BodyText"/>
      </w:pPr>
      <w:r>
        <w:t xml:space="preserve">**Translator Interpreter**</w:t>
      </w:r>
      <w:bookmarkStart w:id="20" w:name="ref1"/>
      <w:bookmarkEnd w:id="20"/>
      <w:r>
        <w:t xml:space="preserve"> </w:t>
      </w:r>
      <w:r>
        <w:t xml:space="preserve">services within the unique socio-economic context of</w:t>
      </w:r>
    </w:p>
    <w:p>
      <w:pPr>
        <w:pStyle w:val="BodyText"/>
      </w:pPr>
      <w:r>
        <w:t xml:space="preserve">*Qatar Doha*.*</w:t>
      </w:r>
    </w:p>
    <w:p>
      <w:pPr>
        <w:pStyle w:val="BodyText"/>
      </w:pPr>
      <w:r>
        <w:t xml:space="preserve">Doha, as the capital and economic hub of Qatar, serves as a gateway between East and West. With its ambition to host major international events, such as the FIFA World Cup 2022, and its ongoing Vision 2030 initiatives, the demand for high-quality linguistic support has never been higher. This document analyzes how specialized</w:t>
      </w:r>
      <w:r>
        <w:t xml:space="preserve"> </w:t>
      </w:r>
      <w:r>
        <w:rPr>
          <w:iCs/>
          <w:i/>
          <w:bCs/>
          <w:b/>
        </w:rPr>
        <w:t xml:space="preserve">Translator Interpreter</w:t>
      </w:r>
      <w:r>
        <w:t xml:space="preserve"> </w:t>
      </w:r>
      <w:r>
        <w:t xml:space="preserve">professionals facilitate cross-cultural collaboration, legal compliance, and social integration in</w:t>
      </w:r>
    </w:p>
    <w:p>
      <w:pPr>
        <w:pStyle w:val="BodyText"/>
      </w:pPr>
      <w:r>
        <w:rPr>
          <w:iCs/>
          <w:i/>
        </w:rPr>
        <w:t xml:space="preserve">Qatar Doha.</w:t>
      </w:r>
    </w:p>
    <w:bookmarkEnd w:id="21"/>
    <w:bookmarkStart w:id="22" w:name="X58f32417eafd18a527bc3e445f572bbea6a3c1c"/>
    <w:p>
      <w:pPr>
        <w:pStyle w:val="Heading2"/>
      </w:pPr>
      <w:r>
        <w:t xml:space="preserve">2. Background and Context: The Linguistic Landscape of Qatar Doha</w:t>
      </w:r>
    </w:p>
    <w:p>
      <w:pPr>
        <w:pStyle w:val="FirstParagraph"/>
      </w:pPr>
      <w:r>
        <w:t xml:space="preserve">To understand the necessity of professional linguistic services in</w:t>
      </w:r>
    </w:p>
    <w:p>
      <w:pPr>
        <w:pStyle w:val="BodyText"/>
      </w:pPr>
      <w:r>
        <w:t xml:space="preserve">*Qatar Doha*,*</w:t>
      </w:r>
    </w:p>
    <w:p>
      <w:pPr>
        <w:pStyle w:val="BodyText"/>
      </w:pPr>
      <w:r>
        <w:t xml:space="preserve">** it is essential to recognize the city's demographic complexity. While Arabic remains the official language, English serves as the primary lingua franca for business, tourism, and administration. However, given that a significant majority of Qatar’s population consists of expatriates from South Asia (India, Pakistan, Bangladesh), Southeast Asia (Philippines), and other Arab nations, multilingualism is a daily reality rather than an exception.</w:t>
      </w:r>
    </w:p>
    <w:p>
      <w:pPr>
        <w:pStyle w:val="BodyText"/>
      </w:pPr>
      <w:r>
        <w:t xml:space="preserve">The city of</w:t>
      </w:r>
    </w:p>
    <w:p>
      <w:pPr>
        <w:pStyle w:val="BodyText"/>
      </w:pPr>
      <w:r>
        <w:t xml:space="preserve">*Qatar Doha*</w:t>
      </w:r>
    </w:p>
    <w:p>
      <w:pPr>
        <w:pStyle w:val="BodyText"/>
      </w:pPr>
      <w:r>
        <w:t xml:space="preserve">*</w:t>
      </w:r>
    </w:p>
    <w:p>
      <w:pPr>
        <w:pStyle w:val="BodyText"/>
      </w:pPr>
      <w:r>
        <w:t xml:space="preserve">** hosts thousands of international corporations, government entities, and non-governmental organizations. Consequently, the need for precise communication extends beyond simple translation; it requires nuanced interpretation that respects cultural subtleties, legal frameworks specific to Qatari law, and professional terminology across various industries such as construction,</w:t>
      </w:r>
      <w:r>
        <w:t xml:space="preserve"> </w:t>
      </w:r>
      <w:r>
        <w:rPr>
          <w:iCs/>
          <w:i/>
        </w:rPr>
        <w:t xml:space="preserve">healthcare,</w:t>
      </w:r>
      <w:r>
        <w:t xml:space="preserve">, finance,</w:t>
      </w:r>
    </w:p>
    <w:p>
      <w:pPr>
        <w:pStyle w:val="BodyText"/>
      </w:pPr>
      <w:r>
        <w:t xml:space="preserve">*</w:t>
      </w:r>
    </w:p>
    <w:p>
      <w:pPr>
        <w:pStyle w:val="BodyText"/>
      </w:pPr>
    </w:p>
    <w:p>
      <w:pPr>
        <w:pStyle w:val="BodyText"/>
      </w:pPr>
      <w:r>
        <w:t xml:space="preserve">and aviation.</w:t>
      </w:r>
    </w:p>
    <w:bookmarkEnd w:id="22"/>
    <w:bookmarkStart w:id="23" w:name="problem-statement"/>
    <w:p>
      <w:pPr>
        <w:pStyle w:val="Heading2"/>
      </w:pPr>
      <w:r>
        <w:t xml:space="preserve">3. Problem Statement</w:t>
      </w:r>
    </w:p>
    <w:p>
      <w:pPr>
        <w:pStyle w:val="FirstParagraph"/>
      </w:pPr>
      <w:r>
        <w:t xml:space="preserve">The primary challenge identified in this</w:t>
      </w:r>
    </w:p>
    <w:p>
      <w:pPr>
        <w:pStyle w:val="BodyText"/>
      </w:pPr>
      <w:r>
        <w:t xml:space="preserve">*Case Study**</w:t>
      </w:r>
    </w:p>
    <w:p>
      <w:pPr>
        <w:pStyle w:val="BodyText"/>
      </w:pPr>
      <w:r>
        <w:t xml:space="preserve">** is the risk of miscommunication due to inadequate linguistic support. In high-stakes environments in</w:t>
      </w:r>
    </w:p>
    <w:p>
      <w:pPr>
        <w:pStyle w:val="BodyText"/>
      </w:pPr>
      <w:r>
        <w:t xml:space="preserve">*Qatar Doha*</w:t>
      </w:r>
    </w:p>
    <w:p>
      <w:pPr>
        <w:pStyle w:val="BodyText"/>
      </w:pPr>
      <w:r>
        <w:t xml:space="preserve">,</w:t>
      </w:r>
    </w:p>
    <w:p>
      <w:pPr>
        <w:pStyle w:val="BodyText"/>
      </w:pPr>
      <w:r>
        <w:t xml:space="preserve">whether it involves a legal contract, a medical diagnosis, or a diplomatic negotiation, errors can lead to severe financial losses,</w:t>
      </w:r>
    </w:p>
    <w:p>
      <w:pPr>
        <w:pStyle w:val="BodyText"/>
      </w:pPr>
      <w:r>
        <w:t xml:space="preserve">*</w:t>
      </w:r>
    </w:p>
    <w:p>
      <w:pPr>
        <w:pStyle w:val="BodyText"/>
      </w:pPr>
      <w:r>
        <w:t xml:space="preserve">legal liabilities,</w:t>
      </w:r>
    </w:p>
    <w:p>
      <w:pPr>
        <w:pStyle w:val="BodyText"/>
      </w:pPr>
      <w:r>
        <w:t xml:space="preserve">r</w:t>
      </w:r>
    </w:p>
    <w:p>
      <w:pPr>
        <w:pStyle w:val="BodyText"/>
      </w:pPr>
      <w:r>
        <w:t xml:space="preserve">, or even threats to human safety.</w:t>
      </w:r>
    </w:p>
    <w:p>
      <w:pPr>
        <w:pStyle w:val="BodyText"/>
      </w:pPr>
      <w:r>
        <w:t xml:space="preserve">Furthermore, there is often confusion between the roles of a</w:t>
      </w:r>
    </w:p>
    <w:p>
      <w:pPr>
        <w:pStyle w:val="BodyText"/>
      </w:pPr>
      <w:r>
        <w:rPr>
          <w:iCs/>
          <w:i/>
        </w:rPr>
        <w:t xml:space="preserve">**Translator Interpreter**</w:t>
      </w:r>
      <w:r>
        <w:rPr>
          <w:iCs/>
          <w:i/>
        </w:rPr>
        <w:t xml:space="preserve"> </w:t>
      </w:r>
      <w:r>
        <w:rPr>
          <w:iCs/>
          <w:i/>
        </w:rPr>
        <w:t xml:space="preserve">(a term that can encompass both written translation and oral interpretation)</w:t>
      </w:r>
      <w:r>
        <w:t xml:space="preserve">. Organizations in</w:t>
      </w:r>
    </w:p>
    <w:p>
      <w:pPr>
        <w:pStyle w:val="BodyText"/>
      </w:pPr>
      <w:r>
        <w:t xml:space="preserve">*Qatar Doha*</w:t>
      </w:r>
    </w:p>
    <w:p>
      <w:pPr>
        <w:pStyle w:val="BodyText"/>
      </w:pPr>
      <w:r>
        <w:t xml:space="preserve">often lack the expertise to distinguish when a written document requires certified translation versus when a live meeting requires simultaneous or consecutive interpretation. This gap leads to inefficiencies and increased costs.</w:t>
      </w:r>
    </w:p>
    <w:bookmarkEnd w:id="23"/>
    <w:bookmarkStart w:id="24" w:name="methodology"/>
    <w:p>
      <w:pPr>
        <w:pStyle w:val="Heading2"/>
      </w:pPr>
      <w:r>
        <w:t xml:space="preserve">4. Methodology</w:t>
      </w:r>
    </w:p>
    <w:p>
      <w:pPr>
        <w:pStyle w:val="FirstParagraph"/>
      </w:pPr>
      <w:r>
        <w:t xml:space="preserve">This</w:t>
      </w:r>
    </w:p>
    <w:p>
      <w:pPr>
        <w:pStyle w:val="BodyText"/>
      </w:pPr>
      <w:r>
        <w:rPr>
          <w:iCs/>
          <w:i/>
        </w:rPr>
        <w:t xml:space="preserve">*Case Study*</w:t>
      </w:r>
    </w:p>
    <w:p>
      <w:pPr>
        <w:pStyle w:val="BodyText"/>
      </w:pPr>
      <w:r>
        <w:t xml:space="preserve">** employs a qualitative analysis approach, reviewing service delivery models used by leading agencies operating in</w:t>
      </w:r>
    </w:p>
    <w:p>
      <w:pPr>
        <w:pStyle w:val="BodyText"/>
      </w:pPr>
      <w:r>
        <w:t xml:space="preserve">*Qatar Doha*</w:t>
      </w:r>
    </w:p>
    <w:p>
      <w:pPr>
        <w:pStyle w:val="BodyText"/>
      </w:pPr>
      <w:r>
        <w:t xml:space="preserve">,</w:t>
      </w:r>
    </w:p>
    <w:p>
      <w:pPr>
        <w:pStyle w:val="BodyText"/>
      </w:pPr>
      <w:r>
        <w:t xml:space="preserve">. It includes:</w:t>
      </w:r>
    </w:p>
    <w:p>
      <w:pPr>
        <w:numPr>
          <w:ilvl w:val="0"/>
          <w:numId w:val="1001"/>
        </w:numPr>
        <w:pStyle w:val="Compact"/>
      </w:pPr>
      <w:r>
        <w:t xml:space="preserve">Semi-structured interviews with HR managers and project leads in multinational firms based in</w:t>
      </w:r>
    </w:p>
    <w:p>
      <w:pPr>
        <w:numPr>
          <w:ilvl w:val="0"/>
          <w:numId w:val="1000"/>
        </w:numPr>
        <w:pStyle w:val="Compact"/>
      </w:pPr>
      <w:r>
        <w:t xml:space="preserve">*Qatar Doha*</w:t>
      </w:r>
    </w:p>
    <w:p>
      <w:pPr>
        <w:numPr>
          <w:ilvl w:val="0"/>
          <w:numId w:val="1000"/>
        </w:numPr>
        <w:pStyle w:val="Compact"/>
      </w:pPr>
      <w:r>
        <w:t xml:space="preserve">.</w:t>
      </w:r>
    </w:p>
    <w:p>
      <w:pPr>
        <w:numPr>
          <w:ilvl w:val="0"/>
          <w:numId w:val="1001"/>
        </w:numPr>
        <w:pStyle w:val="Compact"/>
      </w:pPr>
      <w:r>
        <w:t xml:space="preserve">An analysis of case logs from professional</w:t>
      </w:r>
    </w:p>
    <w:p>
      <w:pPr>
        <w:numPr>
          <w:ilvl w:val="0"/>
          <w:numId w:val="1000"/>
        </w:numPr>
        <w:pStyle w:val="Compact"/>
      </w:pPr>
      <w:r>
        <w:t xml:space="preserve">**Translator Interpreter**</w:t>
      </w:r>
    </w:p>
    <w:p>
      <w:pPr>
        <w:numPr>
          <w:ilvl w:val="0"/>
          <w:numId w:val="1000"/>
        </w:numPr>
        <w:pStyle w:val="Compact"/>
      </w:pPr>
      <w:r>
        <w:t xml:space="preserve">agencies specializing in Arabic-English and other regional language pairs.</w:t>
      </w:r>
    </w:p>
    <w:p>
      <w:pPr>
        <w:numPr>
          <w:ilvl w:val="0"/>
          <w:numId w:val="1001"/>
        </w:numPr>
        <w:pStyle w:val="Compact"/>
      </w:pPr>
      <w:r>
        <w:t xml:space="preserve">Evaluation of regulatory requirements set by the Qatar Ministry of Justice and Ministry of Public Health regarding certified translations.</w:t>
      </w:r>
    </w:p>
    <w:bookmarkEnd w:id="24"/>
    <w:bookmarkStart w:id="27" w:name="key-findings-and-analysis"/>
    <w:p>
      <w:pPr>
        <w:pStyle w:val="Heading2"/>
      </w:pPr>
      <w:r>
        <w:t xml:space="preserve">5. Key Findings and Analysis</w:t>
      </w:r>
    </w:p>
    <w:p>
      <w:pPr>
        <w:pStyle w:val="FirstParagraph"/>
      </w:pPr>
      <w:r>
        <w:t xml:space="preserve">a. The Demand for Specialized</w:t>
      </w:r>
    </w:p>
    <w:p>
      <w:pPr>
        <w:pStyle w:val="BodyText"/>
      </w:pPr>
      <w:r>
        <w:t xml:space="preserve">**Translator Interpreter**</w:t>
      </w:r>
    </w:p>
    <w:p>
      <w:pPr>
        <w:pStyle w:val="BodyText"/>
      </w:pPr>
      <w:r>
        <w:t xml:space="preserve">Services</w:t>
      </w:r>
    </w:p>
    <w:p>
      <w:pPr>
        <w:pStyle w:val="BodyText"/>
      </w:pPr>
      <w:r>
        <w:t xml:space="preserve">*</w:t>
      </w:r>
    </w:p>
    <w:p>
      <w:pPr>
        <w:pStyle w:val="BodyText"/>
      </w:pPr>
      <w:r>
        <w:t xml:space="preserve">**</w:t>
      </w:r>
    </w:p>
    <w:p>
      <w:pPr>
        <w:pStyle w:val="BodyText"/>
      </w:pPr>
      <w:r>
        <w:t xml:space="preserve">**</w:t>
      </w:r>
    </w:p>
    <w:p>
      <w:pPr>
        <w:pStyle w:val="BodyText"/>
      </w:pPr>
      <w:r>
        <w:t xml:space="preserve">The study reveals that generalist translators are often insufficient for specialized fields in</w:t>
      </w:r>
    </w:p>
    <w:p>
      <w:pPr>
        <w:pStyle w:val="BodyText"/>
      </w:pPr>
      <w:r>
        <w:t xml:space="preserve">*Qatar Doha*</w:t>
      </w:r>
    </w:p>
    <w:p>
      <w:pPr>
        <w:pStyle w:val="BodyText"/>
      </w:pPr>
      <w:r>
        <w:t xml:space="preserve">.</w:t>
      </w:r>
    </w:p>
    <w:p>
      <w:pPr>
        <w:pStyle w:val="BodyText"/>
      </w:pPr>
      <w:r>
        <w:t xml:space="preserve">For instance, in the construction sector, which is vital to the infrastructure development of</w:t>
      </w:r>
    </w:p>
    <w:p>
      <w:pPr>
        <w:pStyle w:val="BodyText"/>
      </w:pPr>
      <w:r>
        <w:t xml:space="preserve">*Qatar Doha*</w:t>
      </w:r>
    </w:p>
    <w:p>
      <w:pPr>
        <w:pStyle w:val="BodyText"/>
      </w:pPr>
      <w:r>
        <w:t xml:space="preserve">,</w:t>
      </w:r>
    </w:p>
    <w:p>
      <w:pPr>
        <w:pStyle w:val="BodyText"/>
      </w:pPr>
      <w:r>
        <w:t xml:space="preserve">, technical terminology must be accurately translated from English to Arabic or vice versa. A</w:t>
      </w:r>
    </w:p>
    <w:p>
      <w:pPr>
        <w:pStyle w:val="BodyText"/>
      </w:pPr>
      <w:r>
        <w:t xml:space="preserve">**Translator Interpreter**</w:t>
      </w:r>
    </w:p>
    <w:p>
      <w:pPr>
        <w:pStyle w:val="BodyText"/>
      </w:pPr>
      <w:r>
        <w:t xml:space="preserve">with engineering background ensures that safety protocols and contractual obligations are clearly understood by all parties, regardless of their native language.</w:t>
      </w:r>
    </w:p>
    <w:bookmarkStart w:id="25" w:name="b.-cultural-nuances-in-interpretation"/>
    <w:p>
      <w:pPr>
        <w:pStyle w:val="Heading3"/>
      </w:pPr>
      <w:r>
        <w:t xml:space="preserve">b. Cultural Nuances in Interpretation</w:t>
      </w:r>
    </w:p>
    <w:p>
      <w:pPr>
        <w:pStyle w:val="FirstParagraph"/>
      </w:pPr>
      <w:r>
        <w:t xml:space="preserve">In</w:t>
      </w:r>
    </w:p>
    <w:p>
      <w:pPr>
        <w:pStyle w:val="BodyText"/>
      </w:pPr>
      <w:r>
        <w:t xml:space="preserve">*Qatar Doha*</w:t>
      </w:r>
    </w:p>
    <w:p>
      <w:pPr>
        <w:pStyle w:val="BodyText"/>
      </w:pPr>
      <w:r>
        <w:t xml:space="preserve">,</w:t>
      </w:r>
    </w:p>
    <w:p>
      <w:pPr>
        <w:pStyle w:val="BodyText"/>
      </w:pPr>
      <w:r>
        <w:t xml:space="preserve">, communication is heavily influenced by cultural norms. A skilled</w:t>
      </w:r>
    </w:p>
    <w:p>
      <w:pPr>
        <w:pStyle w:val="BodyText"/>
      </w:pPr>
      <w:r>
        <w:t xml:space="preserve">**Translator Interpreter**</w:t>
      </w:r>
    </w:p>
    <w:p>
      <w:pPr>
        <w:pStyle w:val="BodyText"/>
      </w:pPr>
      <w:r>
        <w:t xml:space="preserve">does not merely convert words but also conveys tone, respect levels, and context. This is particularly important in business negotiations where maintaining face and showing proper deference are crucial for successful outcomes.</w:t>
      </w:r>
    </w:p>
    <w:bookmarkEnd w:id="25"/>
    <w:bookmarkStart w:id="26" w:name="c.-regulatory-compliance"/>
    <w:p>
      <w:pPr>
        <w:pStyle w:val="Heading3"/>
      </w:pPr>
      <w:r>
        <w:t xml:space="preserve">c. Regulatory Compliance</w:t>
      </w:r>
    </w:p>
    <w:p>
      <w:pPr>
        <w:pStyle w:val="FirstParagraph"/>
      </w:pPr>
      <w:r>
        <w:t xml:space="preserve">The Qatari legal system requires all official documents (contracts, birth certificates, power of attorney) to be translated by certified translators recognized by the Ministry of Justice. This</w:t>
      </w:r>
    </w:p>
    <w:p>
      <w:pPr>
        <w:pStyle w:val="BodyText"/>
      </w:pPr>
      <w:r>
        <w:rPr>
          <w:iCs/>
          <w:i/>
        </w:rPr>
        <w:t xml:space="preserve">*Case Study*</w:t>
      </w:r>
    </w:p>
    <w:p>
      <w:pPr>
        <w:pStyle w:val="BodyText"/>
      </w:pPr>
      <w:r>
        <w:t xml:space="preserve">** highlights that using uncertified individuals poses a significant legal risk. Therefore, engaging professional</w:t>
      </w:r>
    </w:p>
    <w:p>
      <w:pPr>
        <w:pStyle w:val="BodyText"/>
      </w:pPr>
      <w:r>
        <w:t xml:space="preserve">**Translator Interpreter**</w:t>
      </w:r>
    </w:p>
    <w:p>
      <w:pPr>
        <w:pStyle w:val="BodyText"/>
      </w:pPr>
      <w:r>
        <w:t xml:space="preserve">firms ensures compliance and validity in</w:t>
      </w:r>
    </w:p>
    <w:p>
      <w:pPr>
        <w:pStyle w:val="BodyText"/>
      </w:pPr>
      <w:r>
        <w:t xml:space="preserve">*Qatar Doha*</w:t>
      </w:r>
    </w:p>
    <w:p>
      <w:pPr>
        <w:pStyle w:val="BodyText"/>
      </w:pPr>
      <w:r>
        <w:t xml:space="preserve">.</w:t>
      </w:r>
    </w:p>
    <w:bookmarkEnd w:id="26"/>
    <w:bookmarkEnd w:id="27"/>
    <w:bookmarkStart w:id="28" w:name="challenges-encountered"/>
    <w:p>
      <w:pPr>
        <w:pStyle w:val="Heading2"/>
      </w:pPr>
      <w:r>
        <w:t xml:space="preserve">6. Challenges Encountered</w:t>
      </w:r>
    </w:p>
    <w:p>
      <w:pPr>
        <w:numPr>
          <w:ilvl w:val="0"/>
          <w:numId w:val="1002"/>
        </w:numPr>
        <w:pStyle w:val="Compact"/>
      </w:pPr>
      <w:r>
        <w:rPr>
          <w:bCs/>
          <w:b/>
        </w:rPr>
        <w:t xml:space="preserve">Talent Shortage:</w:t>
      </w:r>
      <w:r>
        <w:t xml:space="preserve">**Translator Interpreter**</w:t>
      </w:r>
    </w:p>
    <w:p>
      <w:pPr>
        <w:numPr>
          <w:ilvl w:val="0"/>
          <w:numId w:val="1000"/>
        </w:numPr>
        <w:pStyle w:val="Compact"/>
      </w:pPr>
      <w:r>
        <w:t xml:space="preserve">professionals who are native speakers of Arabic and fully fluent in multiple other languages required by the diverse population in</w:t>
      </w:r>
    </w:p>
    <w:p>
      <w:pPr>
        <w:numPr>
          <w:ilvl w:val="0"/>
          <w:numId w:val="1000"/>
        </w:numPr>
        <w:pStyle w:val="Compact"/>
      </w:pPr>
      <w:r>
        <w:t xml:space="preserve">*Qatar Doha*</w:t>
      </w:r>
    </w:p>
    <w:p>
      <w:pPr>
        <w:numPr>
          <w:ilvl w:val="0"/>
          <w:numId w:val="1000"/>
        </w:numPr>
        <w:pStyle w:val="Compact"/>
      </w:pPr>
      <w:r>
        <w:t xml:space="preserve">.</w:t>
      </w:r>
    </w:p>
    <w:p>
      <w:pPr>
        <w:numPr>
          <w:ilvl w:val="0"/>
          <w:numId w:val="1002"/>
        </w:numPr>
        <w:pStyle w:val="Compact"/>
      </w:pPr>
      <w:r>
        <w:rPr>
          <w:bCs/>
          <w:b/>
        </w:rPr>
        <w:t xml:space="preserve">Cost vs. Quality:</w:t>
      </w:r>
    </w:p>
    <w:p>
      <w:pPr>
        <w:numPr>
          <w:ilvl w:val="0"/>
          <w:numId w:val="1002"/>
        </w:numPr>
        <w:pStyle w:val="Compact"/>
      </w:pPr>
      <w:r>
        <w:rPr>
          <w:bCs/>
          <w:b/>
        </w:rPr>
        <w:t xml:space="preserve">Dialect Variations:</w:t>
      </w:r>
    </w:p>
    <w:p>
      <w:pPr>
        <w:numPr>
          <w:ilvl w:val="0"/>
          <w:numId w:val="1000"/>
        </w:numPr>
        <w:pStyle w:val="Compact"/>
      </w:pPr>
      <w:r>
        <w:t xml:space="preserve">*Qatar Doha*</w:t>
      </w:r>
    </w:p>
    <w:p>
      <w:pPr>
        <w:numPr>
          <w:ilvl w:val="0"/>
          <w:numId w:val="1000"/>
        </w:numPr>
        <w:pStyle w:val="Compact"/>
      </w:pPr>
      <w:r>
        <w:t xml:space="preserve">.</w:t>
      </w:r>
    </w:p>
    <w:p>
      <w:pPr>
        <w:numPr>
          <w:ilvl w:val="0"/>
          <w:numId w:val="1000"/>
        </w:numPr>
        <w:pStyle w:val="Compact"/>
      </w:pPr>
      <w:r>
        <w:t xml:space="preserve">Many expatriates may not understand formal Arabic, requiring interpreters who can switch between registers.</w:t>
      </w:r>
    </w:p>
    <w:bookmarkEnd w:id="28"/>
    <w:bookmarkStart w:id="29" w:name="recommendations"/>
    <w:p>
      <w:pPr>
        <w:pStyle w:val="Heading2"/>
      </w:pPr>
      <w:r>
        <w:t xml:space="preserve">7. Recommendations</w:t>
      </w:r>
    </w:p>
    <w:p>
      <w:pPr>
        <w:pStyle w:val="FirstParagraph"/>
      </w:pPr>
      <w:r>
        <w:rPr>
          <w:iCs/>
          <w:i/>
        </w:rPr>
        <w:t xml:space="preserve">*Case Study*</w:t>
      </w:r>
      <w:r>
        <w:t xml:space="preserve">,</w:t>
      </w:r>
    </w:p>
    <w:p>
      <w:pPr>
        <w:pStyle w:val="BodyText"/>
      </w:pPr>
      <w:r>
        <w:t xml:space="preserve">** the following recommendations are proposed for organizations operating in</w:t>
      </w:r>
    </w:p>
    <w:p>
      <w:pPr>
        <w:pStyle w:val="BodyText"/>
      </w:pPr>
      <w:r>
        <w:t xml:space="preserve">*Qatar Doha*</w:t>
      </w:r>
    </w:p>
    <w:p>
      <w:pPr>
        <w:pStyle w:val="BodyText"/>
      </w:pPr>
      <w:r>
        <w:t xml:space="preserve">:</w:t>
      </w:r>
    </w:p>
    <w:p>
      <w:pPr>
        <w:numPr>
          <w:ilvl w:val="0"/>
          <w:numId w:val="1003"/>
        </w:numPr>
        <w:pStyle w:val="Compact"/>
      </w:pPr>
      <w:r>
        <w:rPr>
          <w:bCs/>
          <w:b/>
        </w:rPr>
        <w:t xml:space="preserve">Audit Linguistic Needs:</w:t>
      </w:r>
      <w:r>
        <w:t xml:space="preserve">**Translator Interpreter**</w:t>
      </w:r>
    </w:p>
    <w:p>
      <w:pPr>
        <w:numPr>
          <w:ilvl w:val="0"/>
          <w:numId w:val="1000"/>
        </w:numPr>
        <w:pStyle w:val="Compact"/>
      </w:pPr>
      <w:r>
        <w:t xml:space="preserve">.</w:t>
      </w:r>
    </w:p>
    <w:p>
      <w:pPr>
        <w:numPr>
          <w:ilvl w:val="0"/>
          <w:numId w:val="1003"/>
        </w:numPr>
        <w:pStyle w:val="Compact"/>
      </w:pPr>
      <w:r>
        <w:t xml:space="preserve">Invest in Certified Professionals:*</w:t>
      </w:r>
    </w:p>
    <w:p>
      <w:pPr>
        <w:numPr>
          <w:ilvl w:val="0"/>
          <w:numId w:val="1003"/>
        </w:numPr>
        <w:pStyle w:val="Compact"/>
      </w:pPr>
      <w:r>
        <w:t xml:space="preserve">Cultural Training:</w:t>
      </w:r>
    </w:p>
    <w:p>
      <w:pPr>
        <w:numPr>
          <w:ilvl w:val="0"/>
          <w:numId w:val="1000"/>
        </w:numPr>
        <w:pStyle w:val="Compact"/>
      </w:pPr>
      <w:r>
        <w:t xml:space="preserve">** Provide cultural awareness training for staff interacting with</w:t>
      </w:r>
    </w:p>
    <w:p>
      <w:pPr>
        <w:numPr>
          <w:ilvl w:val="0"/>
          <w:numId w:val="1000"/>
        </w:numPr>
        <w:pStyle w:val="Compact"/>
      </w:pPr>
      <w:r>
        <w:t xml:space="preserve">**Translator Interpreter**</w:t>
      </w:r>
    </w:p>
    <w:p>
      <w:pPr>
        <w:numPr>
          <w:ilvl w:val="0"/>
          <w:numId w:val="1000"/>
        </w:numPr>
        <w:pStyle w:val="Compact"/>
      </w:pPr>
      <w:r>
        <w:t xml:space="preserve">professionals to enhance collaboration efficiency in</w:t>
      </w:r>
    </w:p>
    <w:p>
      <w:pPr>
        <w:numPr>
          <w:ilvl w:val="0"/>
          <w:numId w:val="1000"/>
        </w:numPr>
        <w:pStyle w:val="Compact"/>
      </w:pPr>
      <w:r>
        <w:t xml:space="preserve">*Qatar Doha*</w:t>
      </w:r>
    </w:p>
    <w:p>
      <w:pPr>
        <w:numPr>
          <w:ilvl w:val="0"/>
          <w:numId w:val="1000"/>
        </w:numPr>
        <w:pStyle w:val="Compact"/>
      </w:pPr>
      <w:r>
        <w:t xml:space="preserve">.</w:t>
      </w:r>
    </w:p>
    <w:p>
      <w:pPr>
        <w:numPr>
          <w:ilvl w:val="0"/>
          <w:numId w:val="1003"/>
        </w:numPr>
        <w:pStyle w:val="Compact"/>
      </w:pPr>
      <w:r>
        <w:t xml:space="preserve">Utilize Technology Wisely:</w:t>
      </w:r>
    </w:p>
    <w:p>
      <w:pPr>
        <w:numPr>
          <w:ilvl w:val="0"/>
          <w:numId w:val="1000"/>
        </w:numPr>
        <w:pStyle w:val="Compact"/>
      </w:pPr>
      <w:r>
        <w:t xml:space="preserve">** Use AI and CAT (Computer-Assisted Translation) tools as support for human</w:t>
      </w:r>
    </w:p>
    <w:p>
      <w:pPr>
        <w:numPr>
          <w:ilvl w:val="0"/>
          <w:numId w:val="1000"/>
        </w:numPr>
        <w:pStyle w:val="Compact"/>
      </w:pPr>
      <w:r>
        <w:t xml:space="preserve">**Translator Interpreter**</w:t>
      </w:r>
    </w:p>
    <w:p>
      <w:pPr>
        <w:numPr>
          <w:ilvl w:val="0"/>
          <w:numId w:val="1000"/>
        </w:numPr>
        <w:pStyle w:val="Compact"/>
      </w:pPr>
      <w:r>
        <w:t xml:space="preserve">professionals, but never as a replacement for human judgment in complex scenarios.</w:t>
      </w:r>
    </w:p>
    <w:bookmarkEnd w:id="29"/>
    <w:bookmarkStart w:id="30" w:name="conclusion"/>
    <w:p>
      <w:pPr>
        <w:pStyle w:val="Heading2"/>
      </w:pPr>
      <w:r>
        <w:t xml:space="preserve">8. Conclusion</w:t>
      </w:r>
    </w:p>
    <w:p>
      <w:pPr>
        <w:pStyle w:val="FirstParagraph"/>
      </w:pPr>
      <w:r>
        <w:t xml:space="preserve">In conclusion, this</w:t>
      </w:r>
    </w:p>
    <w:p>
      <w:pPr>
        <w:pStyle w:val="BodyText"/>
      </w:pPr>
      <w:r>
        <w:rPr>
          <w:iCs/>
          <w:i/>
        </w:rPr>
        <w:t xml:space="preserve">*Case Study*</w:t>
      </w:r>
      <w:r>
        <w:t xml:space="preserve">,</w:t>
      </w:r>
    </w:p>
    <w:p>
      <w:pPr>
        <w:pStyle w:val="BodyText"/>
      </w:pPr>
      <w:r>
        <w:t xml:space="preserve">** underscores the indispensable value of professional</w:t>
      </w:r>
    </w:p>
    <w:p>
      <w:pPr>
        <w:pStyle w:val="BodyText"/>
      </w:pPr>
      <w:r>
        <w:t xml:space="preserve">**Translator Interpreter**</w:t>
      </w:r>
    </w:p>
    <w:p>
      <w:pPr>
        <w:pStyle w:val="BodyText"/>
      </w:pPr>
      <w:r>
        <w:t xml:space="preserve">services in</w:t>
      </w:r>
    </w:p>
    <w:p>
      <w:pPr>
        <w:pStyle w:val="BodyText"/>
      </w:pPr>
      <w:r>
        <w:t xml:space="preserve">*Qatar Doha*</w:t>
      </w:r>
    </w:p>
    <w:p>
      <w:pPr>
        <w:pStyle w:val="BodyText"/>
      </w:pPr>
      <w:r>
        <w:t xml:space="preserve">.</w:t>
      </w:r>
    </w:p>
    <w:p>
      <w:pPr>
        <w:pStyle w:val="BodyText"/>
      </w:pPr>
      <w:r>
        <w:t xml:space="preserve">As the city continues to grow as a global hub for business, tourism, and culture, the bridge built by linguistic experts becomes even more critical. By investing in high-quality</w:t>
      </w:r>
    </w:p>
    <w:p>
      <w:pPr>
        <w:pStyle w:val="BodyText"/>
      </w:pPr>
      <w:r>
        <w:t xml:space="preserve">**Translator Interpreter**</w:t>
      </w:r>
    </w:p>
    <w:p>
      <w:pPr>
        <w:pStyle w:val="BodyText"/>
      </w:pPr>
      <w:r>
        <w:t xml:space="preserve">solutions,</w:t>
      </w:r>
    </w:p>
    <w:p>
      <w:pPr>
        <w:pStyle w:val="BodyText"/>
      </w:pPr>
      <w:r>
        <w:t xml:space="preserve">*</w:t>
      </w:r>
    </w:p>
    <w:p>
      <w:pPr>
        <w:pStyle w:val="BodyText"/>
      </w:pPr>
      <w:r>
        <w:t xml:space="preserve">organizations can ensure seamless communication,</w:t>
      </w:r>
    </w:p>
    <w:p>
      <w:pPr>
        <w:pStyle w:val="BodyText"/>
      </w:pPr>
      <w:r>
        <w:t xml:space="preserve">r</w:t>
      </w:r>
    </w:p>
    <w:p>
      <w:pPr>
        <w:pStyle w:val="BodyText"/>
      </w:pPr>
      <w:r>
        <w:t xml:space="preserve">, legal compliance, and successful cross-cultural relationships.</w:t>
      </w:r>
    </w:p>
    <w:p>
      <w:pPr>
        <w:pStyle w:val="BodyText"/>
      </w:pPr>
      <w:r>
        <w:t xml:space="preserve">The future of</w:t>
      </w:r>
    </w:p>
    <w:p>
      <w:pPr>
        <w:pStyle w:val="BodyText"/>
      </w:pPr>
      <w:r>
        <w:t xml:space="preserve">*Qatar Doha*</w:t>
      </w:r>
    </w:p>
    <w:p>
      <w:pPr>
        <w:pStyle w:val="BodyText"/>
      </w:pPr>
      <w:r>
        <w:t xml:space="preserve">,</w:t>
      </w:r>
    </w:p>
    <w:p>
      <w:pPr>
        <w:pStyle w:val="BodyText"/>
      </w:pPr>
      <w:r>
        <w:t xml:space="preserve">** lies in its ability to connect diverse peoples. The</w:t>
      </w:r>
    </w:p>
    <w:p>
      <w:pPr>
        <w:pStyle w:val="BodyText"/>
      </w:pPr>
      <w:r>
        <w:t xml:space="preserve">**Translator Interpreter**</w:t>
      </w:r>
    </w:p>
    <w:p>
      <w:pPr>
        <w:pStyle w:val="BodyText"/>
      </w:pPr>
      <w:r>
        <w:t xml:space="preserve">is not just a service provider but a strategic partner in this mission, enabling clarity, trust, and progress in one of the world’s most dynamic cities.</w:t>
      </w:r>
    </w:p>
    <w:p>
      <w:pPr>
        <w:pStyle w:val="BodyText"/>
      </w:pPr>
      <w:r>
        <w:t xml:space="preserve">*Disclaimer: This document is for informational purposes only and does not constitute legal advice. All references to</w:t>
      </w:r>
    </w:p>
    <w:p>
      <w:pPr>
        <w:pStyle w:val="BodyText"/>
      </w:pPr>
      <w:r>
        <w:t xml:space="preserve">*Qatar Doha*</w:t>
      </w:r>
    </w:p>
    <w:p>
      <w:pPr>
        <w:pStyle w:val="BodyText"/>
      </w:pPr>
      <w:r>
        <w:t xml:space="preserve">,</w:t>
      </w:r>
    </w:p>
    <w:p>
      <w:pPr>
        <w:pStyle w:val="BodyText"/>
      </w:pPr>
      <w:r>
        <w:t xml:space="preserve">** regulatory requirements should be verified with official government sources.*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Multilingual Communication Solutions for Translator Interpreter Services in Qatar Doha</dc:title>
  <dc:creator/>
  <cp:keywords/>
  <dcterms:created xsi:type="dcterms:W3CDTF">2026-07-29T06:42:35Z</dcterms:created>
  <dcterms:modified xsi:type="dcterms:W3CDTF">2026-07-29T06:42:35Z</dcterms:modified>
</cp:coreProperties>
</file>

<file path=docProps/custom.xml><?xml version="1.0" encoding="utf-8"?>
<Properties xmlns="http://schemas.openxmlformats.org/officeDocument/2006/custom-properties" xmlns:vt="http://schemas.openxmlformats.org/officeDocument/2006/docPropsVTypes"/>
</file>