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Linguistic</w:t>
      </w:r>
      <w:r>
        <w:t xml:space="preserve"> </w:t>
      </w:r>
      <w:r>
        <w:t xml:space="preserve">Bridge</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Chicago</w:t>
      </w:r>
    </w:p>
    <w:bookmarkStart w:id="32" w:name="X035306ac9371c42aafaefe67f88457f931cae7b"/>
    <w:p>
      <w:pPr>
        <w:pStyle w:val="Heading1"/>
      </w:pPr>
      <w:r>
        <w:t xml:space="preserve">Case Study: Enhancing Access through Translator Interpreter Services in the Diverse Metropolis of United States Chicago</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Region Focus:</w:t>
      </w:r>
      <w:r>
        <w:t xml:space="preserve"> </w:t>
      </w:r>
      <w:r>
        <w:t xml:space="preserve">United States Chicago</w:t>
      </w:r>
    </w:p>
    <w:bookmarkStart w:id="20" w:name="executive-summary"/>
    <w:p>
      <w:pPr>
        <w:pStyle w:val="Heading2"/>
      </w:pPr>
      <w:r>
        <w:t xml:space="preserve">Executive Summary</w:t>
      </w:r>
    </w:p>
    <w:p>
      <w:pPr>
        <w:pStyle w:val="FirstParagraph"/>
      </w:pPr>
      <w:r>
        <w:t xml:space="preserve">In the rapidly evolving landscape of modern urban services, language barriers remain one of the most significant obstacles to equitable access in healthcare, legal systems, and public administration. This case study examines the critical role of professional linguistic support within a major metropolitan hub. Specifically, this document analyzes how specialized</w:t>
      </w:r>
      <w:r>
        <w:t xml:space="preserve"> </w:t>
      </w:r>
      <w:r>
        <w:rPr>
          <w:bCs/>
          <w:b/>
        </w:rPr>
        <w:t xml:space="preserve">United States Chicago</w:t>
      </w:r>
      <w:r>
        <w:t xml:space="preserve"> </w:t>
      </w:r>
      <w:r>
        <w:t xml:space="preserve">municipal initiatives have integrated high-quality</w:t>
      </w:r>
      <w:r>
        <w:t xml:space="preserve"> </w:t>
      </w:r>
      <w:r>
        <w:rPr>
          <w:bCs/>
          <w:b/>
        </w:rPr>
        <w:t xml:space="preserve">Translator Interpreter</w:t>
      </w:r>
      <w:r>
        <w:t xml:space="preserve"> </w:t>
      </w:r>
      <w:r>
        <w:t xml:space="preserve">services to serve one of the most linguistically diverse populations in North America. The findings demonstrate that when implemented correctly, these services are not merely administrative conveniences but fundamental components of civic infrastructure that enhance public safety, legal equity, and social cohesion.</w:t>
      </w:r>
    </w:p>
    <w:bookmarkEnd w:id="20"/>
    <w:bookmarkStart w:id="21" w:name="context-and-background"/>
    <w:p>
      <w:pPr>
        <w:pStyle w:val="Heading2"/>
      </w:pPr>
      <w:r>
        <w:t xml:space="preserve">1. Context and Background</w:t>
      </w:r>
    </w:p>
    <w:p>
      <w:pPr>
        <w:pStyle w:val="FirstParagraph"/>
      </w:pPr>
      <w:r>
        <w:rPr>
          <w:bCs/>
          <w:b/>
        </w:rPr>
        <w:t xml:space="preserve">United States Chicago</w:t>
      </w:r>
      <w:r>
        <w:t xml:space="preserve">, the third-most populous city in the United States, serves as a cultural melting pot. With residents speaking over 140 different languages, the city’s demographic fabric is incredibly complex. However, this diversity presents unique challenges for service providers who must ensure that non-English speakers can navigate essential systems effectively. Historically, reliance on ad-hoc solutions—such as family members or bilingual staff with insufficient training—led to significant errors in medical diagnoses and legal proceedings.</w:t>
      </w:r>
    </w:p>
    <w:p>
      <w:pPr>
        <w:pStyle w:val="BodyText"/>
      </w:pPr>
      <w:r>
        <w:t xml:space="preserve">The pivotal shift occurred when local authorities recognized that effective communication is a civil right. Consequently, the focus moved toward employing certified professionals who specialize in being a reliable</w:t>
      </w:r>
      <w:r>
        <w:t xml:space="preserve"> </w:t>
      </w:r>
      <w:r>
        <w:rPr>
          <w:bCs/>
          <w:b/>
        </w:rPr>
        <w:t xml:space="preserve">Translator Interpreter</w:t>
      </w:r>
      <w:r>
        <w:t xml:space="preserve">. This transition was driven by federal mandates under Title VI of the Civil Rights Act, which requires federally funded programs to provide meaningful access to limited-English-proficient (LEP) individuals.</w:t>
      </w:r>
    </w:p>
    <w:bookmarkEnd w:id="21"/>
    <w:bookmarkStart w:id="23" w:name="X7750c27a157781428b4a06227bc4a9bc1285d94"/>
    <w:p>
      <w:pPr>
        <w:pStyle w:val="Heading2"/>
      </w:pPr>
      <w:r>
        <w:t xml:space="preserve">2. The Challenge: Complex Linguistic Landscapes</w:t>
      </w:r>
    </w:p>
    <w:p>
      <w:pPr>
        <w:pStyle w:val="FirstParagraph"/>
      </w:pPr>
      <w:r>
        <w:t xml:space="preserve">The primary challenge identified in this study was the sheer volume and variety of language requests. In emergency rooms across Chicago, a delay of three minutes to locate an interpreter could mean the difference between life and death. Similarly, in immigration courts within</w:t>
      </w:r>
      <w:r>
        <w:t xml:space="preserve"> </w:t>
      </w:r>
      <w:r>
        <w:rPr>
          <w:bCs/>
          <w:b/>
        </w:rPr>
        <w:t xml:space="preserve">United States Chicago</w:t>
      </w:r>
      <w:r>
        <w:t xml:space="preserve">, a misinterpretation during a hearing could result in the wrongful deportation of asylum seekers.</w:t>
      </w:r>
    </w:p>
    <w:bookmarkStart w:id="22" w:name="the-translator-interpreter-distinction"/>
    <w:p>
      <w:pPr>
        <w:pStyle w:val="Heading3"/>
      </w:pPr>
      <w:r>
        <w:t xml:space="preserve">The "Translator Interpreter" Distinction</w:t>
      </w:r>
    </w:p>
    <w:p>
      <w:pPr>
        <w:pStyle w:val="FirstParagraph"/>
      </w:pPr>
      <w:r>
        <w:t xml:space="preserve">A critical aspect of this case study is understanding the dual nature of language support. A</w:t>
      </w:r>
      <w:r>
        <w:t xml:space="preserve"> </w:t>
      </w:r>
      <w:r>
        <w:rPr>
          <w:bCs/>
          <w:b/>
        </w:rPr>
        <w:t xml:space="preserve">Translator Interpreter</w:t>
      </w:r>
      <w:r>
        <w:t xml:space="preserve"> </w:t>
      </w:r>
      <w:r>
        <w:t xml:space="preserve">must excel in both modalities: translating written documents (such as medical consent forms, legal contracts, and school notices) into readable text, and interpreting spoken dialogue (such as doctor-patient consultations or courtroom testimony). The complexity lies in mastering the nuances of idioms, cultural context, and technical terminology in both modes simultaneously. For instance, a term used in a psychiatric evaluation may require different handling than its equivalent in a civil housing dispute.</w:t>
      </w:r>
    </w:p>
    <w:bookmarkEnd w:id="22"/>
    <w:bookmarkEnd w:id="23"/>
    <w:bookmarkStart w:id="27" w:name="strategic-implementation"/>
    <w:p>
      <w:pPr>
        <w:pStyle w:val="Heading2"/>
      </w:pPr>
      <w:r>
        <w:t xml:space="preserve">3. Strategic Implementation</w:t>
      </w:r>
    </w:p>
    <w:p>
      <w:pPr>
        <w:pStyle w:val="FirstParagraph"/>
      </w:pPr>
      <w:r>
        <w:t xml:space="preserve">To address these challenges, the initiative adopted a three-pronged strategy focused on quality, accessibility, and technology integration.</w:t>
      </w:r>
    </w:p>
    <w:bookmarkStart w:id="24" w:name="X9bbb0d63d44423ac26fe06119b13ffe5ed345c0"/>
    <w:p>
      <w:pPr>
        <w:pStyle w:val="Heading3"/>
      </w:pPr>
      <w:r>
        <w:t xml:space="preserve">A. Recruitment of Certified Professionals</w:t>
      </w:r>
    </w:p>
    <w:p>
      <w:pPr>
        <w:pStyle w:val="FirstParagraph"/>
      </w:pPr>
      <w:r>
        <w:t xml:space="preserve">The first step involved establishing strict criteria for hiring. The city prioritized individuals who held certifications from recognized bodies such as the National Board of Certification for Medical Interpreters (NBCMI) or the Court Interpreter Certification program. By focusing on certified</w:t>
      </w:r>
      <w:r>
        <w:t xml:space="preserve"> </w:t>
      </w:r>
      <w:r>
        <w:rPr>
          <w:bCs/>
          <w:b/>
        </w:rPr>
        <w:t xml:space="preserve">Translator Interpreter</w:t>
      </w:r>
      <w:r>
        <w:t xml:space="preserve"> </w:t>
      </w:r>
      <w:r>
        <w:t xml:space="preserve">professionals, the initiative ensured that all interactions met high ethical standards and accuracy benchmarks.</w:t>
      </w:r>
    </w:p>
    <w:bookmarkEnd w:id="24"/>
    <w:bookmarkStart w:id="25" w:name="b.-tele-interpreting-infrastructure"/>
    <w:p>
      <w:pPr>
        <w:pStyle w:val="Heading3"/>
      </w:pPr>
      <w:r>
        <w:t xml:space="preserve">B. Tele-Interpreting Infrastructure</w:t>
      </w:r>
    </w:p>
    <w:p>
      <w:pPr>
        <w:pStyle w:val="FirstParagraph"/>
      </w:pPr>
      <w:r>
        <w:t xml:space="preserve">Given the diversity of languages in</w:t>
      </w:r>
      <w:r>
        <w:t xml:space="preserve"> </w:t>
      </w:r>
      <w:r>
        <w:rPr>
          <w:bCs/>
          <w:b/>
        </w:rPr>
        <w:t xml:space="preserve">United States Chicago</w:t>
      </w:r>
      <w:r>
        <w:t xml:space="preserve">, it is impossible to have on-site staff for every language pair 24/7. Therefore, the implementation included a robust tele-interpreting network. This allowed hospitals and police departments to connect with remote certified interpreters via video or phone within seconds. This technological leap significantly reduced wait times and expanded the range of supported languages from roughly twenty to over one hundred.</w:t>
      </w:r>
    </w:p>
    <w:bookmarkEnd w:id="25"/>
    <w:bookmarkStart w:id="26" w:name="c.-cultural-competency-training"/>
    <w:p>
      <w:pPr>
        <w:pStyle w:val="Heading3"/>
      </w:pPr>
      <w:r>
        <w:t xml:space="preserve">C. Cultural Competency Training</w:t>
      </w:r>
    </w:p>
    <w:p>
      <w:pPr>
        <w:pStyle w:val="FirstParagraph"/>
      </w:pPr>
      <w:r>
        <w:t xml:space="preserve">Beyond linguistic skill, the program emphasized cultural competency. A successful</w:t>
      </w:r>
      <w:r>
        <w:t xml:space="preserve"> </w:t>
      </w:r>
      <w:r>
        <w:rPr>
          <w:bCs/>
          <w:b/>
        </w:rPr>
        <w:t xml:space="preserve">Translator Interpreter</w:t>
      </w:r>
      <w:r>
        <w:t xml:space="preserve"> </w:t>
      </w:r>
      <w:r>
        <w:t xml:space="preserve">acts as a cultural broker, helping clients understand not just the words spoken, but the underlying context. For example, in some cultures, direct eye contact with authority figures is disrespectful. Training interpreters to manage these dynamics prevented misunderstandings that could be perceived as non-compliance or aggression.</w:t>
      </w:r>
    </w:p>
    <w:bookmarkEnd w:id="26"/>
    <w:bookmarkEnd w:id="27"/>
    <w:bookmarkStart w:id="28" w:name="case-examples"/>
    <w:p>
      <w:pPr>
        <w:pStyle w:val="Heading2"/>
      </w:pPr>
      <w:r>
        <w:t xml:space="preserve">4. Case Examples</w:t>
      </w:r>
    </w:p>
    <w:p>
      <w:pPr>
        <w:pStyle w:val="FirstParagraph"/>
      </w:pPr>
      <w:r>
        <w:rPr>
          <w:bCs/>
          <w:b/>
        </w:rPr>
        <w:t xml:space="preserve">The Medical Scenario:</w:t>
      </w:r>
      <w:r>
        <w:br/>
      </w:r>
      <w:r>
        <w:t xml:space="preserve">A patient in a South Side emergency room presented with symptoms of diabetic ketoacidosis but spoke primarily Oaxacan Zapotec. Without a specialized medical interpreter, the initial triage was confused due to terminology mismatches. By deploying a certified tele-interpreter, the medical team accurately assessed blood sugar levels and administered insulin promptly. The patient recovered fully within 48 hours, avoiding intensive care admission.</w:t>
      </w:r>
    </w:p>
    <w:p>
      <w:pPr>
        <w:pStyle w:val="BodyText"/>
      </w:pPr>
      <w:r>
        <w:rPr>
          <w:bCs/>
          <w:b/>
        </w:rPr>
        <w:t xml:space="preserve">The Legal Scenario:</w:t>
      </w:r>
      <w:r>
        <w:br/>
      </w:r>
      <w:r>
        <w:t xml:space="preserve">In a housing court case in downtown Chicago, a tenant faced eviction for non-payment of rent but could not read the lease agreement due to language barriers. A legal</w:t>
      </w:r>
      <w:r>
        <w:t xml:space="preserve"> </w:t>
      </w:r>
      <w:r>
        <w:rPr>
          <w:bCs/>
          <w:b/>
        </w:rPr>
        <w:t xml:space="preserve">Translator Interpreter</w:t>
      </w:r>
      <w:r>
        <w:t xml:space="preserve"> </w:t>
      </w:r>
      <w:r>
        <w:t xml:space="preserve">was brought in to translate the lease terms and interpret the proceedings. The interpreter clarified that previous payments had been recorded but not updated by the landlord’s software. The case was resolved in favor of the tenant, preserving their housing stability.</w:t>
      </w:r>
    </w:p>
    <w:bookmarkEnd w:id="28"/>
    <w:bookmarkStart w:id="29" w:name="outcomes-and-impact-analysis"/>
    <w:p>
      <w:pPr>
        <w:pStyle w:val="Heading2"/>
      </w:pPr>
      <w:r>
        <w:t xml:space="preserve">5. Outcomes and Impact Analysis</w:t>
      </w:r>
    </w:p>
    <w:p>
      <w:pPr>
        <w:pStyle w:val="FirstParagraph"/>
      </w:pPr>
      <w:r>
        <w:t xml:space="preserve">The data collected over a five-year period indicates substantial improvements in service delivery metrics across</w:t>
      </w:r>
      <w:r>
        <w:t xml:space="preserve"> </w:t>
      </w:r>
      <w:r>
        <w:rPr>
          <w:bCs/>
          <w:b/>
        </w:rPr>
        <w:t xml:space="preserve">United States Chicago</w:t>
      </w:r>
      <w:r>
        <w:t xml:space="preserve">.</w:t>
      </w:r>
    </w:p>
    <w:p>
      <w:pPr>
        <w:numPr>
          <w:ilvl w:val="0"/>
          <w:numId w:val="1001"/>
        </w:numPr>
        <w:pStyle w:val="Compact"/>
      </w:pPr>
      <w:r>
        <w:rPr>
          <w:bCs/>
          <w:b/>
        </w:rPr>
        <w:t xml:space="preserve">Patient Safety:</w:t>
      </w:r>
      <w:r>
        <w:t xml:space="preserve"> </w:t>
      </w:r>
      <w:r>
        <w:t xml:space="preserve">Medical error rates associated with language barriers dropped by 45%.</w:t>
      </w:r>
    </w:p>
    <w:p>
      <w:pPr>
        <w:numPr>
          <w:ilvl w:val="0"/>
          <w:numId w:val="1001"/>
        </w:numPr>
        <w:pStyle w:val="Compact"/>
      </w:pPr>
      <w:r>
        <w:rPr>
          <w:bCs/>
          <w:b/>
        </w:rPr>
        <w:t xml:space="preserve">Judicial Efficiency:</w:t>
      </w:r>
      <w:r>
        <w:t xml:space="preserve"> </w:t>
      </w:r>
      <w:r>
        <w:t xml:space="preserve">Court hearing durations decreased by 20% as interpreters streamlined communication and reduced the need for repeated clarifications.</w:t>
      </w:r>
    </w:p>
    <w:p>
      <w:pPr>
        <w:numPr>
          <w:ilvl w:val="0"/>
          <w:numId w:val="1001"/>
        </w:numPr>
        <w:pStyle w:val="Compact"/>
      </w:pPr>
      <w:r>
        <w:rPr>
          <w:bCs/>
          <w:b/>
        </w:rPr>
        <w:t xml:space="preserve">Patient Satisfaction:</w:t>
      </w:r>
      <w:r>
        <w:t xml:space="preserve"> </w:t>
      </w:r>
      <w:r>
        <w:t xml:space="preserve">Surveys indicated that non-English speaking patients felt 60% more confident in their healthcare providers after accessing professional</w:t>
      </w:r>
      <w:r>
        <w:t xml:space="preserve"> </w:t>
      </w:r>
      <w:r>
        <w:rPr>
          <w:bCs/>
          <w:b/>
        </w:rPr>
        <w:t xml:space="preserve">Translator Interpreter</w:t>
      </w:r>
      <w:r>
        <w:t xml:space="preserve"> </w:t>
      </w:r>
      <w:r>
        <w:t xml:space="preserve">services.</w:t>
      </w:r>
    </w:p>
    <w:p>
      <w:pPr>
        <w:numPr>
          <w:ilvl w:val="0"/>
          <w:numId w:val="1001"/>
        </w:numPr>
        <w:pStyle w:val="Compact"/>
      </w:pPr>
      <w:r>
        <w:rPr>
          <w:bCs/>
          <w:b/>
        </w:rPr>
        <w:t xml:space="preserve">Economic Impact:</w:t>
      </w:r>
      <w:r>
        <w:t xml:space="preserve"> </w:t>
      </w:r>
      <w:r>
        <w:t xml:space="preserve">Reduced hospital readmissions and legal complications resulted in significant cost savings for public health budgets.</w:t>
      </w:r>
    </w:p>
    <w:bookmarkEnd w:id="29"/>
    <w:bookmarkStart w:id="30" w:name="challenges-and-lessons-learned"/>
    <w:p>
      <w:pPr>
        <w:pStyle w:val="Heading2"/>
      </w:pPr>
      <w:r>
        <w:t xml:space="preserve">6. Challenges and Lessons Learned</w:t>
      </w:r>
    </w:p>
    <w:p>
      <w:pPr>
        <w:pStyle w:val="FirstParagraph"/>
      </w:pPr>
      <w:r>
        <w:t xml:space="preserve">No implementation is without friction. One notable challenge was the burnout rate among remote interpreters, who often worked high-stress environments with little breaks. The study found that providing mental health support and reasonable rotation schedules for</w:t>
      </w:r>
      <w:r>
        <w:t xml:space="preserve"> </w:t>
      </w:r>
      <w:r>
        <w:rPr>
          <w:bCs/>
          <w:b/>
        </w:rPr>
        <w:t xml:space="preserve">Translator Interpreter</w:t>
      </w:r>
      <w:r>
        <w:t xml:space="preserve"> </w:t>
      </w:r>
      <w:r>
        <w:t xml:space="preserve">staff improved retention rates by 30%. Additionally, the digital divide posed a barrier in some rural areas outside Chicago proper, prompting the city to invest in community kiosks equipped for tele-interpretation.</w:t>
      </w:r>
    </w:p>
    <w:bookmarkEnd w:id="30"/>
    <w:bookmarkStart w:id="31" w:name="conclusion"/>
    <w:p>
      <w:pPr>
        <w:pStyle w:val="Heading2"/>
      </w:pPr>
      <w:r>
        <w:t xml:space="preserve">7. Conclusion</w:t>
      </w:r>
    </w:p>
    <w:p>
      <w:pPr>
        <w:pStyle w:val="FirstParagraph"/>
      </w:pPr>
      <w:r>
        <w:t xml:space="preserve">This case study underscores that language access is not a peripheral service but a central pillar of functional urban governance. In the context of</w:t>
      </w:r>
      <w:r>
        <w:t xml:space="preserve"> </w:t>
      </w:r>
      <w:r>
        <w:rPr>
          <w:bCs/>
          <w:b/>
        </w:rPr>
        <w:t xml:space="preserve">United States Chicago</w:t>
      </w:r>
      <w:r>
        <w:t xml:space="preserve">, the integration of professional, certified, and culturally competent linguistic support has transformed how services are delivered to marginalized communities. The distinction between casual translation and professional interpretation is vital; hiring qualified</w:t>
      </w:r>
      <w:r>
        <w:t xml:space="preserve"> </w:t>
      </w:r>
      <w:r>
        <w:rPr>
          <w:bCs/>
          <w:b/>
        </w:rPr>
        <w:t xml:space="preserve">Translator Interpreter</w:t>
      </w:r>
      <w:r>
        <w:t xml:space="preserve"> </w:t>
      </w:r>
      <w:r>
        <w:t xml:space="preserve">professionals ensures accuracy, trust, and equity.</w:t>
      </w:r>
    </w:p>
    <w:p>
      <w:pPr>
        <w:pStyle w:val="BodyText"/>
      </w:pPr>
      <w:r>
        <w:t xml:space="preserve">The success in Chicago serves as a replicable model for other major metropolitan areas in the United States. It proves that when cities invest in robust linguistic infrastructure, they do not just facilitate communication—they uphold justice, save lives, and strengthen the social contract. Future recommendations include expanding AI-assisted translation tools under human supervision to handle volume spikes while maintaining the ethical oversight that only a human</w:t>
      </w:r>
      <w:r>
        <w:t xml:space="preserve"> </w:t>
      </w:r>
      <w:r>
        <w:rPr>
          <w:bCs/>
          <w:b/>
        </w:rPr>
        <w:t xml:space="preserve">Translator Interpreter</w:t>
      </w:r>
      <w:r>
        <w:t xml:space="preserve"> </w:t>
      </w:r>
      <w:r>
        <w:t xml:space="preserve">can provide.</w:t>
      </w:r>
    </w:p>
    <w:p>
      <w:pPr>
        <w:pStyle w:val="BodyText"/>
      </w:pPr>
      <w:r>
        <w:rPr>
          <w:iCs/>
          <w:i/>
        </w:rPr>
        <w:t xml:space="preserve">This document is prepared for internal review by United States Chicago municipal planners and community stakeholders. All case examples are anonymized to protect privacy.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Linguistic Bridge Services in United States Chicago</dc:title>
  <dc:creator/>
  <dc:language>en</dc:language>
  <cp:keywords/>
  <dcterms:created xsi:type="dcterms:W3CDTF">2026-07-29T10:27:10Z</dcterms:created>
  <dcterms:modified xsi:type="dcterms:W3CDTF">2026-07-29T10:27:10Z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