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Role</w:t>
      </w:r>
      <w:r>
        <w:t xml:space="preserve"> </w:t>
      </w:r>
      <w:r>
        <w:t xml:space="preserve">in</w:t>
      </w:r>
      <w:r>
        <w:t xml:space="preserve"> </w:t>
      </w:r>
      <w:r>
        <w:t xml:space="preserve">Australia</w:t>
      </w:r>
      <w:r>
        <w:t xml:space="preserve"> </w:t>
      </w:r>
      <w:r>
        <w:t xml:space="preserve">Brisbane</w:t>
      </w:r>
    </w:p>
    <w:bookmarkStart w:id="30" w:name="X56a656d462055bc5e542cde08b88f5c9a8c860f"/>
    <w:p>
      <w:pPr>
        <w:pStyle w:val="Heading1"/>
      </w:pPr>
      <w:r>
        <w:t xml:space="preserve">Case Study: Navigating the Academic Landscape for a University Lecturer in Australia Brisbane</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Status:</w:t>
      </w:r>
    </w:p>
    <w:bookmarkStart w:id="20" w:name="executive-summary"/>
    <w:p>
      <w:pPr>
        <w:pStyle w:val="Heading3"/>
      </w:pPr>
      <w:r>
        <w:t xml:space="preserve">Executive Summary</w:t>
      </w:r>
    </w:p>
    <w:p>
      <w:pPr>
        <w:pStyle w:val="FirstParagraph"/>
      </w:pPr>
      <w:r>
        <w:t xml:space="preserve">This case study provides an in-depth analysis of the professional expectations, regulatory frameworks, and cultural nuances associated with the role of a University Lecturer within higher education institutions located in Australia Brisbane. As Queensland’s capital city continues to solidify its reputation as a hub for academic excellence and international research, understanding the specific demands placed on academic staff is critical for both prospective employees and institutional administrators. This document explores the intersection of pedagogical responsibility, research output requirements, and local compliance standards unique to this geographic location.</w:t>
      </w:r>
    </w:p>
    <w:bookmarkEnd w:id="20"/>
    <w:bookmarkStart w:id="21" w:name="X9a03128738cbf07a2b2936d501242605d195ea1"/>
    <w:p>
      <w:pPr>
        <w:pStyle w:val="Heading2"/>
      </w:pPr>
      <w:r>
        <w:t xml:space="preserve">1. Introduction: The Context of Higher Education in Australia Brisbane</w:t>
      </w:r>
    </w:p>
    <w:p>
      <w:pPr>
        <w:pStyle w:val="FirstParagraph"/>
      </w:pPr>
      <w:r>
        <w:t xml:space="preserve">The academic ecosystem in Australia is distinct from other global counterparts due to its strong emphasis on industry engagement, practical application of theory, and a rigid adherence to quality assurance standards. In the context of a University Lecturer position in Australia Brisbane, candidates must navigate a landscape defined by several prestigious institutions, including the University of Queensland (UQ), Queensland University of Technology (QUT), and Griffith University.</w:t>
      </w:r>
    </w:p>
    <w:p>
      <w:pPr>
        <w:pStyle w:val="BodyText"/>
      </w:pPr>
      <w:r>
        <w:t xml:space="preserve">The role extends beyond traditional teaching duties. A modern academic in this region is expected to be a "scholar-teacher-researcher." This tripartite expectation requires individuals to not only deliver high-quality undergraduate and postgraduate instruction but also to contribute significantly to peer-reviewed research and maintain active links with the broader community. The competitive nature of academia in Australia Brisbane means that potential hires are often evaluated against international benchmarks, necessitating a robust publication record alongside teaching excellence.</w:t>
      </w:r>
    </w:p>
    <w:bookmarkEnd w:id="21"/>
    <w:bookmarkStart w:id="24" w:name="Xd61a0582c2215d5484269a6a86c2dac47e8210f"/>
    <w:p>
      <w:pPr>
        <w:pStyle w:val="Heading2"/>
      </w:pPr>
      <w:r>
        <w:t xml:space="preserve">2. Professional Responsibilities and Academic Expectations</w:t>
      </w:r>
    </w:p>
    <w:bookmarkStart w:id="22" w:name="Xdc5f4676f5e3f3b1723ec6bab9540d426e6fa63"/>
    <w:p>
      <w:pPr>
        <w:pStyle w:val="Heading3"/>
      </w:pPr>
      <w:r>
        <w:t xml:space="preserve">2.1 Teaching Excellence and Pedagogical Innovation</w:t>
      </w:r>
    </w:p>
    <w:p>
      <w:pPr>
        <w:pStyle w:val="FirstParagraph"/>
      </w:pPr>
      <w:r>
        <w:t xml:space="preserve">The primary duty of a University Lecturer in Australia Brisbane is the delivery of curriculum that meets the standards set by the Tertiary Education Quality and Standards Agency (TEQSA). However, local expectations often require educators to employ active learning strategies that resonate with a diverse student body. Given that many universities in this region host a significant proportion of international students from Asia and Europe, lecturers must demonstrate cultural competence and adaptability in their teaching methods.</w:t>
      </w:r>
    </w:p>
    <w:p>
      <w:pPr>
        <w:pStyle w:val="BodyText"/>
      </w:pPr>
      <w:r>
        <w:t xml:space="preserve">Furthermore, there is a strong emphasis on digital literacy. The integration of Learning Management Systems (LMS) such as Blackboard or Canvas is standard practice. Lecturers are expected to create blended learning environments that combine face-to-face interaction with robust online resources, a necessity accelerated by recent shifts in educational technology trends across Australia.</w:t>
      </w:r>
    </w:p>
    <w:bookmarkEnd w:id="22"/>
    <w:bookmarkStart w:id="23" w:name="research-and-publication-output"/>
    <w:p>
      <w:pPr>
        <w:pStyle w:val="Heading3"/>
      </w:pPr>
      <w:r>
        <w:t xml:space="preserve">2.2 Research and Publication Output</w:t>
      </w:r>
    </w:p>
    <w:p>
      <w:pPr>
        <w:pStyle w:val="FirstParagraph"/>
      </w:pPr>
      <w:r>
        <w:t xml:space="preserve">For research-intensive universities in Australia Brisbane, the pressure to publish is intense. The "Excellence in Research for Australia" (ERA) framework dictates institutional funding and reputation. Consequently, a University Lecturer must maintain an active research agenda aligned with their institution’s strategic goals. This involves securing competitive grant funding from bodies such as the Australian Research Council (ARC). The case study notes that successful candidates often possess a clear five-year research plan that aligns with national priorities, such as sustainability, health innovation, and Indigenous knowledge systems.</w:t>
      </w:r>
    </w:p>
    <w:bookmarkEnd w:id="23"/>
    <w:bookmarkEnd w:id="24"/>
    <w:bookmarkStart w:id="25" w:name="X092b5a3540546b09e2e1109ca7465fcd6a1367f"/>
    <w:p>
      <w:pPr>
        <w:pStyle w:val="Heading2"/>
      </w:pPr>
      <w:r>
        <w:t xml:space="preserve">3. Regulatory Frameworks and Legal Compliance</w:t>
      </w:r>
    </w:p>
    <w:p>
      <w:pPr>
        <w:pStyle w:val="FirstParagraph"/>
      </w:pPr>
      <w:r>
        <w:t xml:space="preserve">Navigating the legal landscape is a critical component of employment for any University Lecturer in Australia Brisbane. Several key regulatory frameworks apply:</w:t>
      </w:r>
    </w:p>
    <w:p>
      <w:pPr>
        <w:numPr>
          <w:ilvl w:val="0"/>
          <w:numId w:val="1001"/>
        </w:numPr>
        <w:pStyle w:val="Compact"/>
      </w:pPr>
      <w:r>
        <w:rPr>
          <w:bCs/>
          <w:b/>
        </w:rPr>
        <w:t xml:space="preserve">Mandatory Reporting and Child Safety:</w:t>
      </w:r>
      <w:r>
        <w:t xml:space="preserve"> </w:t>
      </w:r>
      <w:r>
        <w:t xml:space="preserve">Given the proximity to schools and community programs, strict adherence to Queensland’s child safety standards is paramount.</w:t>
      </w:r>
    </w:p>
    <w:p>
      <w:pPr>
        <w:numPr>
          <w:ilvl w:val="0"/>
          <w:numId w:val="1001"/>
        </w:numPr>
        <w:pStyle w:val="Compact"/>
      </w:pPr>
      <w:r>
        <w:rPr>
          <w:bCs/>
          <w:b/>
        </w:rPr>
        <w:t xml:space="preserve">Vocational Education and Training (VET) Standards:</w:t>
      </w:r>
      <w:r>
        <w:t xml:space="preserve"> </w:t>
      </w:r>
      <w:r>
        <w:t xml:space="preserve">If the lecturer is involved in vocational streams within a university context, compliance with ASQA (Australian Skills Quality Authority) standards is required.</w:t>
      </w:r>
    </w:p>
    <w:p>
      <w:pPr>
        <w:numPr>
          <w:ilvl w:val="0"/>
          <w:numId w:val="1001"/>
        </w:numPr>
        <w:pStyle w:val="Compact"/>
      </w:pPr>
      <w:r>
        <w:rPr>
          <w:bCs/>
          <w:b/>
        </w:rPr>
        <w:t xml:space="preserve">Ahri Registration:</w:t>
      </w:r>
      <w:r>
        <w:t xml:space="preserve"> </w:t>
      </w:r>
      <w:r>
        <w:t xml:space="preserve">In fields such as Psychology and Social Work, registration with the Australian Health Practitioner Regulation Agency may be necessary for professional practice components of the degree.</w:t>
      </w:r>
    </w:p>
    <w:p>
      <w:pPr>
        <w:pStyle w:val="FirstParagraph"/>
      </w:pPr>
      <w:r>
        <w:t xml:space="preserve">In addition to statutory requirements, universities in Australia Brisbane are bound by strict policies regarding Intellectual Property (IP), particularly concerning research generated during employment. Lecturers must understand the nuances of IP ownership between the individual, their supervisor, and the institution.</w:t>
      </w:r>
    </w:p>
    <w:bookmarkEnd w:id="25"/>
    <w:bookmarkStart w:id="26" w:name="X6dd466568f033ee04a2629424b6b5c75bef68e9"/>
    <w:p>
      <w:pPr>
        <w:pStyle w:val="Heading2"/>
      </w:pPr>
      <w:r>
        <w:t xml:space="preserve">4. Cultural Competency and Indigenous Engagement</w:t>
      </w:r>
    </w:p>
    <w:p>
      <w:pPr>
        <w:pStyle w:val="FirstParagraph"/>
      </w:pPr>
      <w:r>
        <w:t xml:space="preserve">A defining characteristic of contemporary academic life in Australia is the commitment to Reconciliation and Indigenous engagement. For a University Lecturer in Australia Brisbane, this is not merely an optional add-on but a core professional responsibility.</w:t>
      </w:r>
    </w:p>
    <w:p>
      <w:pPr>
        <w:pStyle w:val="BodyText"/>
      </w:pPr>
      <w:r>
        <w:t xml:space="preserve">Institutions are increasingly required to integrate Indigenous perspectives into curricula across all disciplines, not just humanities or social sciences. This involves collaborating with local Aboriginal and Torres Strait Islander communities and incorporating Traditional Owner knowledge where appropriate. A lecturer must demonstrate a willingness to undergo cultural competency training and actively support the retention of Indigenous students through mentorship and inclusive teaching practices.</w:t>
      </w:r>
    </w:p>
    <w:p>
      <w:pPr>
        <w:pStyle w:val="BodyText"/>
      </w:pPr>
      <w:r>
        <w:t xml:space="preserve">The case study highlights that failure to engage with these cultural imperatives can result in professional stagnation or disciplinary action, reflecting the broader societal values embedded in Australian institutional policies.</w:t>
      </w:r>
    </w:p>
    <w:bookmarkEnd w:id="26"/>
    <w:bookmarkStart w:id="27" w:name="X8694ccc49c72ecdcbf44b18b8cd9cfee414f37c"/>
    <w:p>
      <w:pPr>
        <w:pStyle w:val="Heading2"/>
      </w:pPr>
      <w:r>
        <w:t xml:space="preserve">5. Work-Life Balance and Institutional Support</w:t>
      </w:r>
    </w:p>
    <w:p>
      <w:pPr>
        <w:pStyle w:val="FirstParagraph"/>
      </w:pPr>
      <w:r>
        <w:t xml:space="preserve">The academic profession in Australia Brisbane is often criticized for high burnout rates due to administrative burdens. However, leading universities have implemented robust employee assistance programs (EAPs) and mental health support networks specifically designed for academic staff.</w:t>
      </w:r>
    </w:p>
    <w:p>
      <w:pPr>
        <w:pStyle w:val="BodyText"/>
      </w:pPr>
      <w:r>
        <w:t xml:space="preserve">Workload models are standardized under the National Tertiary Education Union (NTEU) Enterprise Agreements. These agreements ensure that teaching load, research expectations, and administrative duties are quantified to prevent exploitation. For instance, a full-time lecturer’s workload is typically broken down into specific units of competency or credit points. Understanding these metrics is crucial for new lecturers to manage their time effectively.</w:t>
      </w:r>
    </w:p>
    <w:bookmarkEnd w:id="27"/>
    <w:bookmarkStart w:id="28" w:name="challenges-and-strategic-recommendations"/>
    <w:p>
      <w:pPr>
        <w:pStyle w:val="Heading2"/>
      </w:pPr>
      <w:r>
        <w:t xml:space="preserve">6. Challenges and Strategic Recommendations</w:t>
      </w:r>
    </w:p>
    <w:p>
      <w:pPr>
        <w:pStyle w:val="FirstParagraph"/>
      </w:pPr>
      <w:r>
        <w:rPr>
          <w:bCs/>
          <w:b/>
        </w:rPr>
        <w:t xml:space="preserve">Challenge:</w:t>
      </w:r>
      <w:r>
        <w:t xml:space="preserve">The competitive job market in Australia Brisbane means that casualization of academic staff remains an issue, leading to job insecurity. Many entry-level positions are short-term contracts tied to specific course offerings.</w:t>
      </w:r>
    </w:p>
    <w:p>
      <w:pPr>
        <w:pStyle w:val="BodyText"/>
      </w:pPr>
      <w:r>
        <w:rPr>
          <w:bCs/>
          <w:b/>
        </w:rPr>
        <w:t xml:space="preserve">Recommendation:</w:t>
      </w:r>
      <w:r>
        <w:t xml:space="preserve">Potential University Lecturers should prioritize institutions with strong tenure-track pathways or permanent appointment prospects. Additionally, building networks within the local Brisbane academic community through conferences and professional associations (such as the Australian and New Zealand Communication Association) can provide vital support systems.</w:t>
      </w:r>
    </w:p>
    <w:bookmarkEnd w:id="28"/>
    <w:bookmarkStart w:id="29" w:name="conclusion"/>
    <w:p>
      <w:pPr>
        <w:pStyle w:val="Heading2"/>
      </w:pPr>
      <w:r>
        <w:t xml:space="preserve">7. Conclusion</w:t>
      </w:r>
    </w:p>
    <w:p>
      <w:pPr>
        <w:pStyle w:val="FirstParagraph"/>
      </w:pPr>
      <w:r>
        <w:t xml:space="preserve">The role of a University Lecturer in Australia Brisbane is multifaceted, demanding a delicate balance between rigorous research output, innovative teaching, and strict regulatory compliance. The unique cultural context of Queensland requires educators to be culturally sensitive and actively engaged with Indigenous issues. Success in this role depends not only on academic credentials but also on the ability to navigate the complex administrative and ethical frameworks that govern higher education in Australia.</w:t>
      </w:r>
    </w:p>
    <w:p>
      <w:pPr>
        <w:pStyle w:val="BodyText"/>
      </w:pPr>
      <w:r>
        <w:t xml:space="preserve">For institutions, attracting top talent requires offering competitive remuneration packages aligned with NTEU agreements while providing clear pathways for career progression. For individuals, understanding these dynamics is essential for a sustainable and impactful academic career in this vibrant Australian city.</w:t>
      </w:r>
    </w:p>
    <w:p>
      <w:pPr>
        <w:pStyle w:val="BodyText"/>
      </w:pPr>
      <w:r>
        <w:rPr>
          <w:iCs/>
          <w:i/>
        </w:rPr>
        <w:t xml:space="preserve">This case study is intended for informational purposes regarding the professional role of a University Lecturer in Australia Brisbane. It does not constitute legal advice. All parties should consult relevant institutional HR departments and legal counsel for specific contractual obligations.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Role in Australia Brisbane</dc:title>
  <dc:creator/>
  <dc:language>en</dc:language>
  <cp:keywords/>
  <dcterms:created xsi:type="dcterms:W3CDTF">2026-07-29T16:35:28Z</dcterms:created>
  <dcterms:modified xsi:type="dcterms:W3CDTF">2026-07-29T16:35:28Z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